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E6967">
      <w:pPr>
        <w:jc w:val="center"/>
        <w:rPr>
          <w:rFonts w:eastAsia="黑体"/>
          <w:sz w:val="52"/>
          <w:szCs w:val="52"/>
        </w:rPr>
      </w:pPr>
    </w:p>
    <w:p w14:paraId="0C1E4CEB">
      <w:pPr>
        <w:jc w:val="center"/>
        <w:rPr>
          <w:rFonts w:eastAsia="黑体"/>
          <w:sz w:val="52"/>
          <w:szCs w:val="52"/>
        </w:rPr>
      </w:pPr>
    </w:p>
    <w:p w14:paraId="01798534">
      <w:pPr>
        <w:jc w:val="center"/>
        <w:rPr>
          <w:rFonts w:eastAsia="黑体"/>
          <w:sz w:val="52"/>
          <w:szCs w:val="52"/>
        </w:rPr>
      </w:pPr>
    </w:p>
    <w:p w14:paraId="57328CE1">
      <w:pPr>
        <w:jc w:val="center"/>
        <w:rPr>
          <w:rFonts w:eastAsia="黑体"/>
          <w:sz w:val="44"/>
          <w:szCs w:val="52"/>
        </w:rPr>
      </w:pPr>
      <w:r>
        <w:rPr>
          <w:rFonts w:eastAsia="黑体"/>
          <w:sz w:val="44"/>
          <w:szCs w:val="52"/>
        </w:rPr>
        <w:t>《</w:t>
      </w:r>
      <w:r>
        <w:rPr>
          <w:rFonts w:hint="eastAsia" w:eastAsia="黑体"/>
          <w:sz w:val="44"/>
          <w:szCs w:val="52"/>
        </w:rPr>
        <w:t>宿迁市灌区节约用水技术导则</w:t>
      </w:r>
      <w:r>
        <w:rPr>
          <w:rFonts w:eastAsia="黑体"/>
          <w:sz w:val="44"/>
          <w:szCs w:val="52"/>
        </w:rPr>
        <w:t>》</w:t>
      </w:r>
    </w:p>
    <w:p w14:paraId="6440AFFC">
      <w:pPr>
        <w:jc w:val="both"/>
        <w:rPr>
          <w:rFonts w:eastAsia="黑体"/>
          <w:sz w:val="32"/>
          <w:szCs w:val="32"/>
        </w:rPr>
      </w:pPr>
    </w:p>
    <w:p w14:paraId="20AC3196">
      <w:pPr>
        <w:jc w:val="center"/>
        <w:rPr>
          <w:rFonts w:eastAsia="黑体"/>
          <w:sz w:val="32"/>
          <w:szCs w:val="32"/>
        </w:rPr>
      </w:pPr>
      <w:r>
        <w:rPr>
          <w:rFonts w:eastAsia="黑体"/>
          <w:sz w:val="48"/>
          <w:szCs w:val="48"/>
        </w:rPr>
        <w:t>编 制 说 明</w:t>
      </w:r>
    </w:p>
    <w:p w14:paraId="08F71592">
      <w:pPr>
        <w:jc w:val="center"/>
        <w:rPr>
          <w:rFonts w:eastAsia="黑体"/>
          <w:sz w:val="32"/>
          <w:szCs w:val="32"/>
        </w:rPr>
      </w:pPr>
    </w:p>
    <w:p w14:paraId="0A033FDC">
      <w:pPr>
        <w:jc w:val="center"/>
        <w:rPr>
          <w:rFonts w:eastAsia="黑体"/>
          <w:sz w:val="32"/>
          <w:szCs w:val="32"/>
        </w:rPr>
      </w:pPr>
    </w:p>
    <w:p w14:paraId="5A7A0391">
      <w:pPr>
        <w:jc w:val="center"/>
        <w:rPr>
          <w:rFonts w:eastAsia="黑体"/>
          <w:sz w:val="32"/>
          <w:szCs w:val="32"/>
        </w:rPr>
      </w:pPr>
    </w:p>
    <w:p w14:paraId="17C08297">
      <w:pPr>
        <w:jc w:val="center"/>
        <w:rPr>
          <w:rFonts w:eastAsia="黑体"/>
          <w:sz w:val="32"/>
          <w:szCs w:val="32"/>
        </w:rPr>
      </w:pPr>
    </w:p>
    <w:p w14:paraId="55A7A4B7">
      <w:pPr>
        <w:jc w:val="center"/>
        <w:rPr>
          <w:rFonts w:eastAsia="黑体"/>
          <w:sz w:val="32"/>
          <w:szCs w:val="32"/>
        </w:rPr>
      </w:pPr>
    </w:p>
    <w:p w14:paraId="285EFE4A">
      <w:pPr>
        <w:jc w:val="center"/>
        <w:rPr>
          <w:rFonts w:eastAsia="黑体"/>
          <w:sz w:val="32"/>
          <w:szCs w:val="32"/>
        </w:rPr>
      </w:pPr>
    </w:p>
    <w:p w14:paraId="33F60E91">
      <w:pPr>
        <w:jc w:val="center"/>
        <w:rPr>
          <w:rFonts w:eastAsia="黑体"/>
          <w:sz w:val="32"/>
          <w:szCs w:val="32"/>
        </w:rPr>
      </w:pPr>
    </w:p>
    <w:p w14:paraId="39B588C7">
      <w:pPr>
        <w:jc w:val="center"/>
        <w:rPr>
          <w:rFonts w:eastAsia="黑体"/>
          <w:sz w:val="32"/>
          <w:szCs w:val="32"/>
        </w:rPr>
      </w:pPr>
    </w:p>
    <w:p w14:paraId="044D1A6E">
      <w:pPr>
        <w:rPr>
          <w:rFonts w:eastAsia="黑体"/>
          <w:sz w:val="32"/>
          <w:szCs w:val="32"/>
        </w:rPr>
      </w:pPr>
    </w:p>
    <w:p w14:paraId="1CFBA32A">
      <w:pPr>
        <w:jc w:val="center"/>
        <w:rPr>
          <w:rFonts w:eastAsia="黑体"/>
          <w:sz w:val="32"/>
          <w:szCs w:val="32"/>
        </w:rPr>
      </w:pPr>
    </w:p>
    <w:p w14:paraId="48993E44">
      <w:pPr>
        <w:jc w:val="center"/>
        <w:rPr>
          <w:rFonts w:eastAsia="黑体"/>
          <w:sz w:val="32"/>
          <w:szCs w:val="32"/>
        </w:rPr>
      </w:pPr>
    </w:p>
    <w:p w14:paraId="111682A3">
      <w:pPr>
        <w:jc w:val="center"/>
        <w:rPr>
          <w:rFonts w:eastAsia="黑体"/>
          <w:sz w:val="32"/>
          <w:szCs w:val="32"/>
        </w:rPr>
      </w:pPr>
    </w:p>
    <w:p w14:paraId="7CAF3462">
      <w:pPr>
        <w:jc w:val="center"/>
        <w:rPr>
          <w:rFonts w:eastAsia="黑体"/>
          <w:sz w:val="32"/>
          <w:szCs w:val="32"/>
        </w:rPr>
      </w:pPr>
    </w:p>
    <w:p w14:paraId="6879814B">
      <w:pPr>
        <w:spacing w:line="360" w:lineRule="auto"/>
        <w:jc w:val="center"/>
        <w:rPr>
          <w:rFonts w:eastAsia="黑体"/>
          <w:bCs/>
          <w:sz w:val="30"/>
          <w:szCs w:val="30"/>
        </w:rPr>
      </w:pPr>
      <w:r>
        <w:rPr>
          <w:rFonts w:eastAsia="黑体"/>
          <w:sz w:val="30"/>
          <w:szCs w:val="30"/>
        </w:rPr>
        <w:t>《</w:t>
      </w:r>
      <w:r>
        <w:rPr>
          <w:rFonts w:hint="eastAsia" w:eastAsia="黑体"/>
          <w:sz w:val="30"/>
          <w:szCs w:val="30"/>
        </w:rPr>
        <w:t>宿迁市灌区节约用水技术导则</w:t>
      </w:r>
      <w:r>
        <w:rPr>
          <w:rFonts w:eastAsia="黑体"/>
          <w:sz w:val="30"/>
          <w:szCs w:val="30"/>
        </w:rPr>
        <w:t>》编制组</w:t>
      </w:r>
    </w:p>
    <w:p w14:paraId="18621774">
      <w:pPr>
        <w:spacing w:line="360" w:lineRule="auto"/>
        <w:jc w:val="center"/>
        <w:rPr>
          <w:rFonts w:eastAsia="黑体"/>
          <w:sz w:val="30"/>
          <w:szCs w:val="30"/>
        </w:rPr>
      </w:pPr>
      <w:r>
        <w:rPr>
          <w:rFonts w:eastAsia="黑体"/>
          <w:sz w:val="30"/>
          <w:szCs w:val="30"/>
        </w:rPr>
        <w:t>二〇二</w:t>
      </w:r>
      <w:r>
        <w:rPr>
          <w:rFonts w:hint="eastAsia" w:eastAsia="黑体"/>
          <w:sz w:val="30"/>
          <w:szCs w:val="30"/>
        </w:rPr>
        <w:t>四</w:t>
      </w:r>
      <w:r>
        <w:rPr>
          <w:rFonts w:eastAsia="黑体"/>
          <w:sz w:val="30"/>
          <w:szCs w:val="30"/>
        </w:rPr>
        <w:t>年</w:t>
      </w:r>
      <w:r>
        <w:rPr>
          <w:rFonts w:hint="eastAsia" w:eastAsia="黑体"/>
          <w:sz w:val="30"/>
          <w:szCs w:val="30"/>
        </w:rPr>
        <w:t>五</w:t>
      </w:r>
      <w:r>
        <w:rPr>
          <w:rFonts w:eastAsia="黑体"/>
          <w:sz w:val="30"/>
          <w:szCs w:val="30"/>
        </w:rPr>
        <w:t>月</w:t>
      </w:r>
    </w:p>
    <w:p w14:paraId="062A84A0">
      <w:pPr>
        <w:jc w:val="center"/>
        <w:rPr>
          <w:rFonts w:eastAsia="黑体"/>
          <w:sz w:val="32"/>
          <w:szCs w:val="32"/>
        </w:rPr>
      </w:pPr>
    </w:p>
    <w:p w14:paraId="282EAC8B">
      <w:r>
        <w:br w:type="page"/>
      </w:r>
    </w:p>
    <w:sdt>
      <w:sdtPr>
        <w:rPr>
          <w:rFonts w:ascii="Times New Roman" w:hAnsi="Times New Roman" w:eastAsia="宋体" w:cs="Times New Roman"/>
          <w:b/>
          <w:bCs/>
          <w:caps/>
          <w:color w:val="auto"/>
          <w:kern w:val="2"/>
          <w:sz w:val="21"/>
          <w:szCs w:val="24"/>
          <w:lang w:val="zh-CN"/>
        </w:rPr>
        <w:id w:val="-1321114874"/>
        <w:docPartObj>
          <w:docPartGallery w:val="Table of Contents"/>
          <w:docPartUnique/>
        </w:docPartObj>
      </w:sdtPr>
      <w:sdtEndPr>
        <w:rPr>
          <w:rFonts w:ascii="等线" w:hAnsi="Times New Roman" w:eastAsia="等线" w:cs="Times New Roman"/>
          <w:b/>
          <w:bCs/>
          <w:caps/>
          <w:color w:val="auto"/>
          <w:kern w:val="2"/>
          <w:sz w:val="20"/>
          <w:szCs w:val="20"/>
          <w:lang w:val="zh-CN"/>
        </w:rPr>
      </w:sdtEndPr>
      <w:sdtContent>
        <w:p w14:paraId="219E0FBD">
          <w:pPr>
            <w:pStyle w:val="32"/>
            <w:jc w:val="center"/>
            <w:rPr>
              <w:rFonts w:ascii="黑体" w:hAnsi="黑体" w:eastAsia="黑体"/>
              <w:b/>
              <w:color w:val="auto"/>
            </w:rPr>
          </w:pPr>
          <w:r>
            <w:rPr>
              <w:rFonts w:ascii="黑体" w:hAnsi="黑体" w:eastAsia="黑体"/>
              <w:b/>
              <w:color w:val="auto"/>
              <w:lang w:val="zh-CN"/>
            </w:rPr>
            <w:t>目</w:t>
          </w:r>
          <w:r>
            <w:rPr>
              <w:rFonts w:hint="eastAsia" w:ascii="黑体" w:hAnsi="黑体" w:eastAsia="黑体"/>
              <w:b/>
              <w:color w:val="auto"/>
              <w:lang w:val="zh-CN"/>
            </w:rPr>
            <w:t xml:space="preserve">    </w:t>
          </w:r>
          <w:r>
            <w:rPr>
              <w:rFonts w:ascii="黑体" w:hAnsi="黑体" w:eastAsia="黑体"/>
              <w:b/>
              <w:color w:val="auto"/>
              <w:lang w:val="zh-CN"/>
            </w:rPr>
            <w:t>录</w:t>
          </w:r>
        </w:p>
        <w:p w14:paraId="2E70CE6F">
          <w:pPr>
            <w:pStyle w:val="11"/>
            <w:tabs>
              <w:tab w:val="left" w:pos="840"/>
              <w:tab w:val="right" w:leader="dot" w:pos="8296"/>
            </w:tabs>
            <w:rPr>
              <w:rFonts w:ascii="Times New Roman" w:eastAsia="宋体"/>
              <w:b w:val="0"/>
              <w:bCs w:val="0"/>
              <w:caps w:val="0"/>
              <w:sz w:val="30"/>
              <w:szCs w:val="30"/>
            </w:rPr>
          </w:pPr>
          <w:r>
            <w:rPr>
              <w:rFonts w:ascii="Times New Roman" w:eastAsia="宋体"/>
              <w:b w:val="0"/>
              <w:bCs w:val="0"/>
              <w:caps w:val="0"/>
              <w:sz w:val="30"/>
              <w:szCs w:val="30"/>
            </w:rPr>
            <w:fldChar w:fldCharType="begin"/>
          </w:r>
          <w:r>
            <w:rPr>
              <w:rFonts w:ascii="Times New Roman" w:eastAsia="宋体"/>
              <w:b w:val="0"/>
              <w:bCs w:val="0"/>
              <w:caps w:val="0"/>
              <w:sz w:val="30"/>
              <w:szCs w:val="30"/>
            </w:rPr>
            <w:instrText xml:space="preserve"> TOC \o "1-2" \h \z \u </w:instrText>
          </w:r>
          <w:r>
            <w:rPr>
              <w:rFonts w:ascii="Times New Roman" w:eastAsia="宋体"/>
              <w:b w:val="0"/>
              <w:bCs w:val="0"/>
              <w:caps w:val="0"/>
              <w:sz w:val="30"/>
              <w:szCs w:val="30"/>
            </w:rPr>
            <w:fldChar w:fldCharType="separate"/>
          </w:r>
          <w:r>
            <w:fldChar w:fldCharType="begin"/>
          </w:r>
          <w:r>
            <w:instrText xml:space="preserve"> HYPERLINK \l "_Toc174890605" </w:instrText>
          </w:r>
          <w:r>
            <w:fldChar w:fldCharType="separate"/>
          </w:r>
          <w:r>
            <w:rPr>
              <w:rStyle w:val="18"/>
              <w:rFonts w:ascii="Times New Roman" w:eastAsia="宋体"/>
              <w:sz w:val="30"/>
              <w:szCs w:val="30"/>
            </w:rPr>
            <w:t>一、</w:t>
          </w:r>
          <w:r>
            <w:rPr>
              <w:rFonts w:ascii="Times New Roman" w:eastAsia="宋体"/>
              <w:b w:val="0"/>
              <w:bCs w:val="0"/>
              <w:caps w:val="0"/>
              <w:sz w:val="30"/>
              <w:szCs w:val="30"/>
            </w:rPr>
            <w:tab/>
          </w:r>
          <w:r>
            <w:rPr>
              <w:rStyle w:val="18"/>
              <w:rFonts w:ascii="Times New Roman" w:eastAsia="宋体"/>
              <w:sz w:val="30"/>
              <w:szCs w:val="30"/>
            </w:rPr>
            <w:t>工作简况</w:t>
          </w:r>
          <w:r>
            <w:rPr>
              <w:rFonts w:ascii="Times New Roman" w:eastAsia="宋体"/>
              <w:sz w:val="30"/>
              <w:szCs w:val="30"/>
            </w:rPr>
            <w:tab/>
          </w:r>
          <w:r>
            <w:rPr>
              <w:rFonts w:ascii="Times New Roman" w:eastAsia="宋体"/>
              <w:sz w:val="30"/>
              <w:szCs w:val="30"/>
            </w:rPr>
            <w:fldChar w:fldCharType="begin"/>
          </w:r>
          <w:r>
            <w:rPr>
              <w:rFonts w:ascii="Times New Roman" w:eastAsia="宋体"/>
              <w:sz w:val="30"/>
              <w:szCs w:val="30"/>
            </w:rPr>
            <w:instrText xml:space="preserve"> PAGEREF _Toc174890605 \h </w:instrText>
          </w:r>
          <w:r>
            <w:rPr>
              <w:rFonts w:ascii="Times New Roman" w:eastAsia="宋体"/>
              <w:sz w:val="30"/>
              <w:szCs w:val="30"/>
            </w:rPr>
            <w:fldChar w:fldCharType="separate"/>
          </w:r>
          <w:r>
            <w:rPr>
              <w:rFonts w:ascii="Times New Roman" w:eastAsia="宋体"/>
              <w:sz w:val="30"/>
              <w:szCs w:val="30"/>
            </w:rPr>
            <w:t>1</w:t>
          </w:r>
          <w:r>
            <w:rPr>
              <w:rFonts w:ascii="Times New Roman" w:eastAsia="宋体"/>
              <w:sz w:val="30"/>
              <w:szCs w:val="30"/>
            </w:rPr>
            <w:fldChar w:fldCharType="end"/>
          </w:r>
          <w:r>
            <w:rPr>
              <w:rFonts w:ascii="Times New Roman" w:eastAsia="宋体"/>
              <w:sz w:val="30"/>
              <w:szCs w:val="30"/>
            </w:rPr>
            <w:fldChar w:fldCharType="end"/>
          </w:r>
        </w:p>
        <w:p w14:paraId="38AC3B50">
          <w:pPr>
            <w:pStyle w:val="12"/>
            <w:tabs>
              <w:tab w:val="left" w:pos="840"/>
              <w:tab w:val="right" w:leader="dot" w:pos="8296"/>
            </w:tabs>
            <w:rPr>
              <w:sz w:val="30"/>
              <w:szCs w:val="30"/>
            </w:rPr>
          </w:pPr>
          <w:r>
            <w:fldChar w:fldCharType="begin"/>
          </w:r>
          <w:r>
            <w:instrText xml:space="preserve"> HYPERLINK \l "_Toc174890606" </w:instrText>
          </w:r>
          <w:r>
            <w:fldChar w:fldCharType="separate"/>
          </w:r>
          <w:r>
            <w:rPr>
              <w:rStyle w:val="18"/>
              <w:b/>
              <w:sz w:val="30"/>
              <w:szCs w:val="30"/>
            </w:rPr>
            <w:t>1.</w:t>
          </w:r>
          <w:r>
            <w:rPr>
              <w:sz w:val="30"/>
              <w:szCs w:val="30"/>
            </w:rPr>
            <w:tab/>
          </w:r>
          <w:r>
            <w:rPr>
              <w:rStyle w:val="18"/>
              <w:b/>
              <w:sz w:val="30"/>
              <w:szCs w:val="30"/>
            </w:rPr>
            <w:t>任务来源</w:t>
          </w:r>
          <w:r>
            <w:rPr>
              <w:sz w:val="30"/>
              <w:szCs w:val="30"/>
            </w:rPr>
            <w:tab/>
          </w:r>
          <w:r>
            <w:rPr>
              <w:sz w:val="30"/>
              <w:szCs w:val="30"/>
            </w:rPr>
            <w:fldChar w:fldCharType="begin"/>
          </w:r>
          <w:r>
            <w:rPr>
              <w:sz w:val="30"/>
              <w:szCs w:val="30"/>
            </w:rPr>
            <w:instrText xml:space="preserve"> PAGEREF _Toc174890606 \h </w:instrText>
          </w:r>
          <w:r>
            <w:rPr>
              <w:sz w:val="30"/>
              <w:szCs w:val="30"/>
            </w:rPr>
            <w:fldChar w:fldCharType="separate"/>
          </w:r>
          <w:r>
            <w:rPr>
              <w:sz w:val="30"/>
              <w:szCs w:val="30"/>
            </w:rPr>
            <w:t>1</w:t>
          </w:r>
          <w:r>
            <w:rPr>
              <w:sz w:val="30"/>
              <w:szCs w:val="30"/>
            </w:rPr>
            <w:fldChar w:fldCharType="end"/>
          </w:r>
          <w:r>
            <w:rPr>
              <w:sz w:val="30"/>
              <w:szCs w:val="30"/>
            </w:rPr>
            <w:fldChar w:fldCharType="end"/>
          </w:r>
        </w:p>
        <w:p w14:paraId="426C2E60">
          <w:pPr>
            <w:pStyle w:val="12"/>
            <w:tabs>
              <w:tab w:val="left" w:pos="840"/>
              <w:tab w:val="right" w:leader="dot" w:pos="8296"/>
            </w:tabs>
            <w:rPr>
              <w:sz w:val="30"/>
              <w:szCs w:val="30"/>
            </w:rPr>
          </w:pPr>
          <w:r>
            <w:fldChar w:fldCharType="begin"/>
          </w:r>
          <w:r>
            <w:instrText xml:space="preserve"> HYPERLINK \l "_Toc174890607" </w:instrText>
          </w:r>
          <w:r>
            <w:fldChar w:fldCharType="separate"/>
          </w:r>
          <w:r>
            <w:rPr>
              <w:rStyle w:val="18"/>
              <w:b/>
              <w:sz w:val="30"/>
              <w:szCs w:val="30"/>
            </w:rPr>
            <w:t>2.</w:t>
          </w:r>
          <w:r>
            <w:rPr>
              <w:sz w:val="30"/>
              <w:szCs w:val="30"/>
            </w:rPr>
            <w:tab/>
          </w:r>
          <w:r>
            <w:rPr>
              <w:rStyle w:val="18"/>
              <w:b/>
              <w:sz w:val="30"/>
              <w:szCs w:val="30"/>
            </w:rPr>
            <w:t>编制背景</w:t>
          </w:r>
          <w:r>
            <w:rPr>
              <w:sz w:val="30"/>
              <w:szCs w:val="30"/>
            </w:rPr>
            <w:tab/>
          </w:r>
          <w:r>
            <w:rPr>
              <w:sz w:val="30"/>
              <w:szCs w:val="30"/>
            </w:rPr>
            <w:fldChar w:fldCharType="begin"/>
          </w:r>
          <w:r>
            <w:rPr>
              <w:sz w:val="30"/>
              <w:szCs w:val="30"/>
            </w:rPr>
            <w:instrText xml:space="preserve"> PAGEREF _Toc174890607 \h </w:instrText>
          </w:r>
          <w:r>
            <w:rPr>
              <w:sz w:val="30"/>
              <w:szCs w:val="30"/>
            </w:rPr>
            <w:fldChar w:fldCharType="separate"/>
          </w:r>
          <w:r>
            <w:rPr>
              <w:sz w:val="30"/>
              <w:szCs w:val="30"/>
            </w:rPr>
            <w:t>1</w:t>
          </w:r>
          <w:r>
            <w:rPr>
              <w:sz w:val="30"/>
              <w:szCs w:val="30"/>
            </w:rPr>
            <w:fldChar w:fldCharType="end"/>
          </w:r>
          <w:r>
            <w:rPr>
              <w:sz w:val="30"/>
              <w:szCs w:val="30"/>
            </w:rPr>
            <w:fldChar w:fldCharType="end"/>
          </w:r>
        </w:p>
        <w:p w14:paraId="4B3BE933">
          <w:pPr>
            <w:pStyle w:val="12"/>
            <w:tabs>
              <w:tab w:val="left" w:pos="840"/>
              <w:tab w:val="right" w:leader="dot" w:pos="8296"/>
            </w:tabs>
            <w:rPr>
              <w:sz w:val="30"/>
              <w:szCs w:val="30"/>
            </w:rPr>
          </w:pPr>
          <w:r>
            <w:fldChar w:fldCharType="begin"/>
          </w:r>
          <w:r>
            <w:instrText xml:space="preserve"> HYPERLINK \l "_Toc174890608" </w:instrText>
          </w:r>
          <w:r>
            <w:fldChar w:fldCharType="separate"/>
          </w:r>
          <w:r>
            <w:rPr>
              <w:rStyle w:val="18"/>
              <w:b/>
              <w:sz w:val="30"/>
              <w:szCs w:val="30"/>
            </w:rPr>
            <w:t>3.</w:t>
          </w:r>
          <w:r>
            <w:rPr>
              <w:sz w:val="30"/>
              <w:szCs w:val="30"/>
            </w:rPr>
            <w:tab/>
          </w:r>
          <w:r>
            <w:rPr>
              <w:rStyle w:val="18"/>
              <w:b/>
              <w:sz w:val="30"/>
              <w:szCs w:val="30"/>
            </w:rPr>
            <w:t>国内外情况说明</w:t>
          </w:r>
          <w:r>
            <w:rPr>
              <w:sz w:val="30"/>
              <w:szCs w:val="30"/>
            </w:rPr>
            <w:tab/>
          </w:r>
          <w:r>
            <w:rPr>
              <w:sz w:val="30"/>
              <w:szCs w:val="30"/>
            </w:rPr>
            <w:fldChar w:fldCharType="begin"/>
          </w:r>
          <w:r>
            <w:rPr>
              <w:sz w:val="30"/>
              <w:szCs w:val="30"/>
            </w:rPr>
            <w:instrText xml:space="preserve"> PAGEREF _Toc174890608 \h </w:instrText>
          </w:r>
          <w:r>
            <w:rPr>
              <w:sz w:val="30"/>
              <w:szCs w:val="30"/>
            </w:rPr>
            <w:fldChar w:fldCharType="separate"/>
          </w:r>
          <w:r>
            <w:rPr>
              <w:sz w:val="30"/>
              <w:szCs w:val="30"/>
            </w:rPr>
            <w:t>3</w:t>
          </w:r>
          <w:r>
            <w:rPr>
              <w:sz w:val="30"/>
              <w:szCs w:val="30"/>
            </w:rPr>
            <w:fldChar w:fldCharType="end"/>
          </w:r>
          <w:r>
            <w:rPr>
              <w:sz w:val="30"/>
              <w:szCs w:val="30"/>
            </w:rPr>
            <w:fldChar w:fldCharType="end"/>
          </w:r>
        </w:p>
        <w:p w14:paraId="546E1893">
          <w:pPr>
            <w:pStyle w:val="12"/>
            <w:tabs>
              <w:tab w:val="left" w:pos="840"/>
              <w:tab w:val="right" w:leader="dot" w:pos="8296"/>
            </w:tabs>
            <w:rPr>
              <w:sz w:val="30"/>
              <w:szCs w:val="30"/>
            </w:rPr>
          </w:pPr>
          <w:r>
            <w:fldChar w:fldCharType="begin"/>
          </w:r>
          <w:r>
            <w:instrText xml:space="preserve"> HYPERLINK \l "_Toc174890609" </w:instrText>
          </w:r>
          <w:r>
            <w:fldChar w:fldCharType="separate"/>
          </w:r>
          <w:r>
            <w:rPr>
              <w:rStyle w:val="18"/>
              <w:b/>
              <w:sz w:val="30"/>
              <w:szCs w:val="30"/>
            </w:rPr>
            <w:t>4.</w:t>
          </w:r>
          <w:r>
            <w:rPr>
              <w:sz w:val="30"/>
              <w:szCs w:val="30"/>
            </w:rPr>
            <w:tab/>
          </w:r>
          <w:r>
            <w:rPr>
              <w:rStyle w:val="18"/>
              <w:b/>
              <w:sz w:val="30"/>
              <w:szCs w:val="30"/>
            </w:rPr>
            <w:t>编制原则和依据</w:t>
          </w:r>
          <w:r>
            <w:rPr>
              <w:sz w:val="30"/>
              <w:szCs w:val="30"/>
            </w:rPr>
            <w:tab/>
          </w:r>
          <w:r>
            <w:rPr>
              <w:sz w:val="30"/>
              <w:szCs w:val="30"/>
            </w:rPr>
            <w:fldChar w:fldCharType="begin"/>
          </w:r>
          <w:r>
            <w:rPr>
              <w:sz w:val="30"/>
              <w:szCs w:val="30"/>
            </w:rPr>
            <w:instrText xml:space="preserve"> PAGEREF _Toc174890609 \h </w:instrText>
          </w:r>
          <w:r>
            <w:rPr>
              <w:sz w:val="30"/>
              <w:szCs w:val="30"/>
            </w:rPr>
            <w:fldChar w:fldCharType="separate"/>
          </w:r>
          <w:r>
            <w:rPr>
              <w:sz w:val="30"/>
              <w:szCs w:val="30"/>
            </w:rPr>
            <w:t>5</w:t>
          </w:r>
          <w:r>
            <w:rPr>
              <w:sz w:val="30"/>
              <w:szCs w:val="30"/>
            </w:rPr>
            <w:fldChar w:fldCharType="end"/>
          </w:r>
          <w:r>
            <w:rPr>
              <w:sz w:val="30"/>
              <w:szCs w:val="30"/>
            </w:rPr>
            <w:fldChar w:fldCharType="end"/>
          </w:r>
        </w:p>
        <w:p w14:paraId="1EB1B172">
          <w:pPr>
            <w:pStyle w:val="12"/>
            <w:tabs>
              <w:tab w:val="left" w:pos="840"/>
              <w:tab w:val="right" w:leader="dot" w:pos="8296"/>
            </w:tabs>
            <w:rPr>
              <w:sz w:val="30"/>
              <w:szCs w:val="30"/>
            </w:rPr>
          </w:pPr>
          <w:r>
            <w:fldChar w:fldCharType="begin"/>
          </w:r>
          <w:r>
            <w:instrText xml:space="preserve"> HYPERLINK \l "_Toc174890610" </w:instrText>
          </w:r>
          <w:r>
            <w:fldChar w:fldCharType="separate"/>
          </w:r>
          <w:r>
            <w:rPr>
              <w:rStyle w:val="18"/>
              <w:b/>
              <w:sz w:val="30"/>
              <w:szCs w:val="30"/>
            </w:rPr>
            <w:t>5.</w:t>
          </w:r>
          <w:r>
            <w:rPr>
              <w:sz w:val="30"/>
              <w:szCs w:val="30"/>
            </w:rPr>
            <w:tab/>
          </w:r>
          <w:r>
            <w:rPr>
              <w:rStyle w:val="18"/>
              <w:b/>
              <w:sz w:val="30"/>
              <w:szCs w:val="30"/>
            </w:rPr>
            <w:t>标准主要起草人及其所做的工作</w:t>
          </w:r>
          <w:r>
            <w:rPr>
              <w:sz w:val="30"/>
              <w:szCs w:val="30"/>
            </w:rPr>
            <w:tab/>
          </w:r>
          <w:r>
            <w:rPr>
              <w:sz w:val="30"/>
              <w:szCs w:val="30"/>
            </w:rPr>
            <w:fldChar w:fldCharType="begin"/>
          </w:r>
          <w:r>
            <w:rPr>
              <w:sz w:val="30"/>
              <w:szCs w:val="30"/>
            </w:rPr>
            <w:instrText xml:space="preserve"> PAGEREF _Toc174890610 \h </w:instrText>
          </w:r>
          <w:r>
            <w:rPr>
              <w:sz w:val="30"/>
              <w:szCs w:val="30"/>
            </w:rPr>
            <w:fldChar w:fldCharType="separate"/>
          </w:r>
          <w:r>
            <w:rPr>
              <w:sz w:val="30"/>
              <w:szCs w:val="30"/>
            </w:rPr>
            <w:t>6</w:t>
          </w:r>
          <w:r>
            <w:rPr>
              <w:sz w:val="30"/>
              <w:szCs w:val="30"/>
            </w:rPr>
            <w:fldChar w:fldCharType="end"/>
          </w:r>
          <w:r>
            <w:rPr>
              <w:sz w:val="30"/>
              <w:szCs w:val="30"/>
            </w:rPr>
            <w:fldChar w:fldCharType="end"/>
          </w:r>
        </w:p>
        <w:p w14:paraId="21F1276D">
          <w:pPr>
            <w:pStyle w:val="11"/>
            <w:tabs>
              <w:tab w:val="right" w:leader="dot" w:pos="8296"/>
            </w:tabs>
            <w:rPr>
              <w:rFonts w:ascii="Times New Roman" w:eastAsia="宋体"/>
              <w:b w:val="0"/>
              <w:bCs w:val="0"/>
              <w:caps w:val="0"/>
              <w:sz w:val="30"/>
              <w:szCs w:val="30"/>
            </w:rPr>
          </w:pPr>
          <w:r>
            <w:fldChar w:fldCharType="begin"/>
          </w:r>
          <w:r>
            <w:instrText xml:space="preserve"> HYPERLINK \l "_Toc174890611" </w:instrText>
          </w:r>
          <w:r>
            <w:fldChar w:fldCharType="separate"/>
          </w:r>
          <w:r>
            <w:rPr>
              <w:rStyle w:val="18"/>
              <w:rFonts w:ascii="Times New Roman" w:eastAsia="宋体"/>
              <w:sz w:val="30"/>
              <w:szCs w:val="30"/>
            </w:rPr>
            <w:t>二、主要内容技术指标确立</w:t>
          </w:r>
          <w:r>
            <w:rPr>
              <w:rFonts w:ascii="Times New Roman" w:eastAsia="宋体"/>
              <w:sz w:val="30"/>
              <w:szCs w:val="30"/>
            </w:rPr>
            <w:tab/>
          </w:r>
          <w:r>
            <w:rPr>
              <w:rFonts w:ascii="Times New Roman" w:eastAsia="宋体"/>
              <w:sz w:val="30"/>
              <w:szCs w:val="30"/>
            </w:rPr>
            <w:fldChar w:fldCharType="begin"/>
          </w:r>
          <w:r>
            <w:rPr>
              <w:rFonts w:ascii="Times New Roman" w:eastAsia="宋体"/>
              <w:sz w:val="30"/>
              <w:szCs w:val="30"/>
            </w:rPr>
            <w:instrText xml:space="preserve"> PAGEREF _Toc174890611 \h </w:instrText>
          </w:r>
          <w:r>
            <w:rPr>
              <w:rFonts w:ascii="Times New Roman" w:eastAsia="宋体"/>
              <w:sz w:val="30"/>
              <w:szCs w:val="30"/>
            </w:rPr>
            <w:fldChar w:fldCharType="separate"/>
          </w:r>
          <w:r>
            <w:rPr>
              <w:rFonts w:ascii="Times New Roman" w:eastAsia="宋体"/>
              <w:sz w:val="30"/>
              <w:szCs w:val="30"/>
            </w:rPr>
            <w:t>7</w:t>
          </w:r>
          <w:r>
            <w:rPr>
              <w:rFonts w:ascii="Times New Roman" w:eastAsia="宋体"/>
              <w:sz w:val="30"/>
              <w:szCs w:val="30"/>
            </w:rPr>
            <w:fldChar w:fldCharType="end"/>
          </w:r>
          <w:r>
            <w:rPr>
              <w:rFonts w:ascii="Times New Roman" w:eastAsia="宋体"/>
              <w:sz w:val="30"/>
              <w:szCs w:val="30"/>
            </w:rPr>
            <w:fldChar w:fldCharType="end"/>
          </w:r>
        </w:p>
        <w:p w14:paraId="3B823F3D">
          <w:pPr>
            <w:pStyle w:val="12"/>
            <w:tabs>
              <w:tab w:val="left" w:pos="840"/>
              <w:tab w:val="right" w:leader="dot" w:pos="8296"/>
            </w:tabs>
            <w:rPr>
              <w:sz w:val="30"/>
              <w:szCs w:val="30"/>
            </w:rPr>
          </w:pPr>
          <w:r>
            <w:fldChar w:fldCharType="begin"/>
          </w:r>
          <w:r>
            <w:instrText xml:space="preserve"> HYPERLINK \l "_Toc174890612" </w:instrText>
          </w:r>
          <w:r>
            <w:fldChar w:fldCharType="separate"/>
          </w:r>
          <w:r>
            <w:rPr>
              <w:rStyle w:val="18"/>
              <w:b/>
              <w:bCs/>
              <w:sz w:val="30"/>
              <w:szCs w:val="30"/>
            </w:rPr>
            <w:t>1.</w:t>
          </w:r>
          <w:r>
            <w:rPr>
              <w:sz w:val="30"/>
              <w:szCs w:val="30"/>
            </w:rPr>
            <w:tab/>
          </w:r>
          <w:r>
            <w:rPr>
              <w:rStyle w:val="18"/>
              <w:b/>
              <w:bCs/>
              <w:sz w:val="30"/>
              <w:szCs w:val="30"/>
            </w:rPr>
            <w:t>标准适用范围</w:t>
          </w:r>
          <w:r>
            <w:rPr>
              <w:sz w:val="30"/>
              <w:szCs w:val="30"/>
            </w:rPr>
            <w:tab/>
          </w:r>
          <w:r>
            <w:rPr>
              <w:sz w:val="30"/>
              <w:szCs w:val="30"/>
            </w:rPr>
            <w:fldChar w:fldCharType="begin"/>
          </w:r>
          <w:r>
            <w:rPr>
              <w:sz w:val="30"/>
              <w:szCs w:val="30"/>
            </w:rPr>
            <w:instrText xml:space="preserve"> PAGEREF _Toc174890612 \h </w:instrText>
          </w:r>
          <w:r>
            <w:rPr>
              <w:sz w:val="30"/>
              <w:szCs w:val="30"/>
            </w:rPr>
            <w:fldChar w:fldCharType="separate"/>
          </w:r>
          <w:r>
            <w:rPr>
              <w:sz w:val="30"/>
              <w:szCs w:val="30"/>
            </w:rPr>
            <w:t>7</w:t>
          </w:r>
          <w:r>
            <w:rPr>
              <w:sz w:val="30"/>
              <w:szCs w:val="30"/>
            </w:rPr>
            <w:fldChar w:fldCharType="end"/>
          </w:r>
          <w:r>
            <w:rPr>
              <w:sz w:val="30"/>
              <w:szCs w:val="30"/>
            </w:rPr>
            <w:fldChar w:fldCharType="end"/>
          </w:r>
        </w:p>
        <w:p w14:paraId="0EC0DB4F">
          <w:pPr>
            <w:pStyle w:val="12"/>
            <w:tabs>
              <w:tab w:val="left" w:pos="840"/>
              <w:tab w:val="right" w:leader="dot" w:pos="8296"/>
            </w:tabs>
            <w:rPr>
              <w:sz w:val="30"/>
              <w:szCs w:val="30"/>
            </w:rPr>
          </w:pPr>
          <w:r>
            <w:fldChar w:fldCharType="begin"/>
          </w:r>
          <w:r>
            <w:instrText xml:space="preserve"> HYPERLINK \l "_Toc174890613" </w:instrText>
          </w:r>
          <w:r>
            <w:fldChar w:fldCharType="separate"/>
          </w:r>
          <w:r>
            <w:rPr>
              <w:rStyle w:val="18"/>
              <w:b/>
              <w:bCs/>
              <w:sz w:val="30"/>
              <w:szCs w:val="30"/>
            </w:rPr>
            <w:t>2.</w:t>
          </w:r>
          <w:r>
            <w:rPr>
              <w:sz w:val="30"/>
              <w:szCs w:val="30"/>
            </w:rPr>
            <w:tab/>
          </w:r>
          <w:r>
            <w:rPr>
              <w:rStyle w:val="18"/>
              <w:b/>
              <w:bCs/>
              <w:sz w:val="30"/>
              <w:szCs w:val="30"/>
            </w:rPr>
            <w:t>规范性引用文件</w:t>
          </w:r>
          <w:r>
            <w:rPr>
              <w:sz w:val="30"/>
              <w:szCs w:val="30"/>
            </w:rPr>
            <w:tab/>
          </w:r>
          <w:r>
            <w:rPr>
              <w:sz w:val="30"/>
              <w:szCs w:val="30"/>
            </w:rPr>
            <w:fldChar w:fldCharType="begin"/>
          </w:r>
          <w:r>
            <w:rPr>
              <w:sz w:val="30"/>
              <w:szCs w:val="30"/>
            </w:rPr>
            <w:instrText xml:space="preserve"> PAGEREF _Toc174890613 \h </w:instrText>
          </w:r>
          <w:r>
            <w:rPr>
              <w:sz w:val="30"/>
              <w:szCs w:val="30"/>
            </w:rPr>
            <w:fldChar w:fldCharType="separate"/>
          </w:r>
          <w:r>
            <w:rPr>
              <w:sz w:val="30"/>
              <w:szCs w:val="30"/>
            </w:rPr>
            <w:t>7</w:t>
          </w:r>
          <w:r>
            <w:rPr>
              <w:sz w:val="30"/>
              <w:szCs w:val="30"/>
            </w:rPr>
            <w:fldChar w:fldCharType="end"/>
          </w:r>
          <w:r>
            <w:rPr>
              <w:sz w:val="30"/>
              <w:szCs w:val="30"/>
            </w:rPr>
            <w:fldChar w:fldCharType="end"/>
          </w:r>
        </w:p>
        <w:p w14:paraId="17AA1881">
          <w:pPr>
            <w:pStyle w:val="12"/>
            <w:tabs>
              <w:tab w:val="left" w:pos="840"/>
              <w:tab w:val="right" w:leader="dot" w:pos="8296"/>
            </w:tabs>
            <w:rPr>
              <w:sz w:val="30"/>
              <w:szCs w:val="30"/>
            </w:rPr>
          </w:pPr>
          <w:r>
            <w:fldChar w:fldCharType="begin"/>
          </w:r>
          <w:r>
            <w:instrText xml:space="preserve"> HYPERLINK \l "_Toc174890614" </w:instrText>
          </w:r>
          <w:r>
            <w:fldChar w:fldCharType="separate"/>
          </w:r>
          <w:r>
            <w:rPr>
              <w:rStyle w:val="18"/>
              <w:b/>
              <w:bCs/>
              <w:sz w:val="30"/>
              <w:szCs w:val="30"/>
            </w:rPr>
            <w:t>3.</w:t>
          </w:r>
          <w:r>
            <w:rPr>
              <w:sz w:val="30"/>
              <w:szCs w:val="30"/>
            </w:rPr>
            <w:tab/>
          </w:r>
          <w:r>
            <w:rPr>
              <w:rStyle w:val="18"/>
              <w:b/>
              <w:bCs/>
              <w:sz w:val="30"/>
              <w:szCs w:val="30"/>
            </w:rPr>
            <w:t>术语和定义</w:t>
          </w:r>
          <w:r>
            <w:rPr>
              <w:sz w:val="30"/>
              <w:szCs w:val="30"/>
            </w:rPr>
            <w:tab/>
          </w:r>
          <w:r>
            <w:rPr>
              <w:sz w:val="30"/>
              <w:szCs w:val="30"/>
            </w:rPr>
            <w:fldChar w:fldCharType="begin"/>
          </w:r>
          <w:r>
            <w:rPr>
              <w:sz w:val="30"/>
              <w:szCs w:val="30"/>
            </w:rPr>
            <w:instrText xml:space="preserve"> PAGEREF _Toc174890614 \h </w:instrText>
          </w:r>
          <w:r>
            <w:rPr>
              <w:sz w:val="30"/>
              <w:szCs w:val="30"/>
            </w:rPr>
            <w:fldChar w:fldCharType="separate"/>
          </w:r>
          <w:r>
            <w:rPr>
              <w:sz w:val="30"/>
              <w:szCs w:val="30"/>
            </w:rPr>
            <w:t>7</w:t>
          </w:r>
          <w:r>
            <w:rPr>
              <w:sz w:val="30"/>
              <w:szCs w:val="30"/>
            </w:rPr>
            <w:fldChar w:fldCharType="end"/>
          </w:r>
          <w:r>
            <w:rPr>
              <w:sz w:val="30"/>
              <w:szCs w:val="30"/>
            </w:rPr>
            <w:fldChar w:fldCharType="end"/>
          </w:r>
        </w:p>
        <w:p w14:paraId="737AC62E">
          <w:pPr>
            <w:pStyle w:val="12"/>
            <w:tabs>
              <w:tab w:val="left" w:pos="840"/>
              <w:tab w:val="right" w:leader="dot" w:pos="8296"/>
            </w:tabs>
            <w:rPr>
              <w:sz w:val="30"/>
              <w:szCs w:val="30"/>
            </w:rPr>
          </w:pPr>
          <w:r>
            <w:fldChar w:fldCharType="begin"/>
          </w:r>
          <w:r>
            <w:instrText xml:space="preserve"> HYPERLINK \l "_Toc174890615" </w:instrText>
          </w:r>
          <w:r>
            <w:fldChar w:fldCharType="separate"/>
          </w:r>
          <w:r>
            <w:rPr>
              <w:rStyle w:val="18"/>
              <w:b/>
              <w:bCs/>
              <w:sz w:val="30"/>
              <w:szCs w:val="30"/>
            </w:rPr>
            <w:t>4.</w:t>
          </w:r>
          <w:r>
            <w:rPr>
              <w:sz w:val="30"/>
              <w:szCs w:val="30"/>
            </w:rPr>
            <w:tab/>
          </w:r>
          <w:r>
            <w:rPr>
              <w:rStyle w:val="18"/>
              <w:b/>
              <w:bCs/>
              <w:sz w:val="30"/>
              <w:szCs w:val="30"/>
            </w:rPr>
            <w:t>技术参数</w:t>
          </w:r>
          <w:r>
            <w:rPr>
              <w:sz w:val="30"/>
              <w:szCs w:val="30"/>
            </w:rPr>
            <w:tab/>
          </w:r>
          <w:r>
            <w:rPr>
              <w:sz w:val="30"/>
              <w:szCs w:val="30"/>
            </w:rPr>
            <w:fldChar w:fldCharType="begin"/>
          </w:r>
          <w:r>
            <w:rPr>
              <w:sz w:val="30"/>
              <w:szCs w:val="30"/>
            </w:rPr>
            <w:instrText xml:space="preserve"> PAGEREF _Toc174890615 \h </w:instrText>
          </w:r>
          <w:r>
            <w:rPr>
              <w:sz w:val="30"/>
              <w:szCs w:val="30"/>
            </w:rPr>
            <w:fldChar w:fldCharType="separate"/>
          </w:r>
          <w:r>
            <w:rPr>
              <w:sz w:val="30"/>
              <w:szCs w:val="30"/>
            </w:rPr>
            <w:t>8</w:t>
          </w:r>
          <w:r>
            <w:rPr>
              <w:sz w:val="30"/>
              <w:szCs w:val="30"/>
            </w:rPr>
            <w:fldChar w:fldCharType="end"/>
          </w:r>
          <w:r>
            <w:rPr>
              <w:sz w:val="30"/>
              <w:szCs w:val="30"/>
            </w:rPr>
            <w:fldChar w:fldCharType="end"/>
          </w:r>
        </w:p>
        <w:p w14:paraId="4811D131">
          <w:pPr>
            <w:pStyle w:val="12"/>
            <w:tabs>
              <w:tab w:val="left" w:pos="840"/>
              <w:tab w:val="right" w:leader="dot" w:pos="8296"/>
            </w:tabs>
            <w:rPr>
              <w:sz w:val="30"/>
              <w:szCs w:val="30"/>
            </w:rPr>
          </w:pPr>
          <w:r>
            <w:fldChar w:fldCharType="begin"/>
          </w:r>
          <w:r>
            <w:instrText xml:space="preserve"> HYPERLINK \l "_Toc174890616" </w:instrText>
          </w:r>
          <w:r>
            <w:fldChar w:fldCharType="separate"/>
          </w:r>
          <w:r>
            <w:rPr>
              <w:rStyle w:val="18"/>
              <w:b/>
              <w:bCs/>
              <w:sz w:val="30"/>
              <w:szCs w:val="30"/>
            </w:rPr>
            <w:t>5.</w:t>
          </w:r>
          <w:r>
            <w:rPr>
              <w:sz w:val="30"/>
              <w:szCs w:val="30"/>
            </w:rPr>
            <w:tab/>
          </w:r>
          <w:r>
            <w:rPr>
              <w:rStyle w:val="18"/>
              <w:b/>
              <w:bCs/>
              <w:sz w:val="30"/>
              <w:szCs w:val="30"/>
            </w:rPr>
            <w:t>节水管理</w:t>
          </w:r>
          <w:r>
            <w:rPr>
              <w:sz w:val="30"/>
              <w:szCs w:val="30"/>
            </w:rPr>
            <w:tab/>
          </w:r>
          <w:r>
            <w:rPr>
              <w:sz w:val="30"/>
              <w:szCs w:val="30"/>
            </w:rPr>
            <w:fldChar w:fldCharType="begin"/>
          </w:r>
          <w:r>
            <w:rPr>
              <w:sz w:val="30"/>
              <w:szCs w:val="30"/>
            </w:rPr>
            <w:instrText xml:space="preserve"> PAGEREF _Toc174890616 \h </w:instrText>
          </w:r>
          <w:r>
            <w:rPr>
              <w:sz w:val="30"/>
              <w:szCs w:val="30"/>
            </w:rPr>
            <w:fldChar w:fldCharType="separate"/>
          </w:r>
          <w:r>
            <w:rPr>
              <w:sz w:val="30"/>
              <w:szCs w:val="30"/>
            </w:rPr>
            <w:t>11</w:t>
          </w:r>
          <w:r>
            <w:rPr>
              <w:sz w:val="30"/>
              <w:szCs w:val="30"/>
            </w:rPr>
            <w:fldChar w:fldCharType="end"/>
          </w:r>
          <w:r>
            <w:rPr>
              <w:sz w:val="30"/>
              <w:szCs w:val="30"/>
            </w:rPr>
            <w:fldChar w:fldCharType="end"/>
          </w:r>
        </w:p>
        <w:p w14:paraId="6E930FA7">
          <w:pPr>
            <w:pStyle w:val="12"/>
            <w:tabs>
              <w:tab w:val="left" w:pos="840"/>
              <w:tab w:val="right" w:leader="dot" w:pos="8296"/>
            </w:tabs>
            <w:rPr>
              <w:sz w:val="30"/>
              <w:szCs w:val="30"/>
            </w:rPr>
          </w:pPr>
          <w:r>
            <w:fldChar w:fldCharType="begin"/>
          </w:r>
          <w:r>
            <w:instrText xml:space="preserve"> HYPERLINK \l "_Toc174890617" </w:instrText>
          </w:r>
          <w:r>
            <w:fldChar w:fldCharType="separate"/>
          </w:r>
          <w:r>
            <w:rPr>
              <w:rStyle w:val="18"/>
              <w:b/>
              <w:bCs/>
              <w:sz w:val="30"/>
              <w:szCs w:val="30"/>
            </w:rPr>
            <w:t>6.</w:t>
          </w:r>
          <w:r>
            <w:rPr>
              <w:sz w:val="30"/>
              <w:szCs w:val="30"/>
            </w:rPr>
            <w:tab/>
          </w:r>
          <w:r>
            <w:rPr>
              <w:rStyle w:val="18"/>
              <w:b/>
              <w:bCs/>
              <w:sz w:val="30"/>
              <w:szCs w:val="30"/>
            </w:rPr>
            <w:t>节水评价与效益</w:t>
          </w:r>
          <w:r>
            <w:rPr>
              <w:sz w:val="30"/>
              <w:szCs w:val="30"/>
            </w:rPr>
            <w:tab/>
          </w:r>
          <w:r>
            <w:rPr>
              <w:sz w:val="30"/>
              <w:szCs w:val="30"/>
            </w:rPr>
            <w:fldChar w:fldCharType="begin"/>
          </w:r>
          <w:r>
            <w:rPr>
              <w:sz w:val="30"/>
              <w:szCs w:val="30"/>
            </w:rPr>
            <w:instrText xml:space="preserve"> PAGEREF _Toc174890617 \h </w:instrText>
          </w:r>
          <w:r>
            <w:rPr>
              <w:sz w:val="30"/>
              <w:szCs w:val="30"/>
            </w:rPr>
            <w:fldChar w:fldCharType="separate"/>
          </w:r>
          <w:r>
            <w:rPr>
              <w:sz w:val="30"/>
              <w:szCs w:val="30"/>
            </w:rPr>
            <w:t>13</w:t>
          </w:r>
          <w:r>
            <w:rPr>
              <w:sz w:val="30"/>
              <w:szCs w:val="30"/>
            </w:rPr>
            <w:fldChar w:fldCharType="end"/>
          </w:r>
          <w:r>
            <w:rPr>
              <w:sz w:val="30"/>
              <w:szCs w:val="30"/>
            </w:rPr>
            <w:fldChar w:fldCharType="end"/>
          </w:r>
        </w:p>
        <w:p w14:paraId="1ACC651E">
          <w:pPr>
            <w:pStyle w:val="11"/>
            <w:tabs>
              <w:tab w:val="right" w:leader="dot" w:pos="8296"/>
            </w:tabs>
            <w:rPr>
              <w:rFonts w:ascii="Times New Roman" w:eastAsia="宋体"/>
              <w:b w:val="0"/>
              <w:bCs w:val="0"/>
              <w:caps w:val="0"/>
              <w:sz w:val="30"/>
              <w:szCs w:val="30"/>
            </w:rPr>
          </w:pPr>
          <w:r>
            <w:fldChar w:fldCharType="begin"/>
          </w:r>
          <w:r>
            <w:instrText xml:space="preserve"> HYPERLINK \l "_Toc174890618" </w:instrText>
          </w:r>
          <w:r>
            <w:fldChar w:fldCharType="separate"/>
          </w:r>
          <w:r>
            <w:rPr>
              <w:rStyle w:val="18"/>
              <w:rFonts w:ascii="Times New Roman" w:eastAsia="宋体"/>
              <w:sz w:val="30"/>
              <w:szCs w:val="30"/>
            </w:rPr>
            <w:t>三、采用国际标准的程度及水平的简要说明</w:t>
          </w:r>
          <w:r>
            <w:rPr>
              <w:rFonts w:ascii="Times New Roman" w:eastAsia="宋体"/>
              <w:sz w:val="30"/>
              <w:szCs w:val="30"/>
            </w:rPr>
            <w:tab/>
          </w:r>
          <w:r>
            <w:rPr>
              <w:rFonts w:ascii="Times New Roman" w:eastAsia="宋体"/>
              <w:sz w:val="30"/>
              <w:szCs w:val="30"/>
            </w:rPr>
            <w:fldChar w:fldCharType="begin"/>
          </w:r>
          <w:r>
            <w:rPr>
              <w:rFonts w:ascii="Times New Roman" w:eastAsia="宋体"/>
              <w:sz w:val="30"/>
              <w:szCs w:val="30"/>
            </w:rPr>
            <w:instrText xml:space="preserve"> PAGEREF _Toc174890618 \h </w:instrText>
          </w:r>
          <w:r>
            <w:rPr>
              <w:rFonts w:ascii="Times New Roman" w:eastAsia="宋体"/>
              <w:sz w:val="30"/>
              <w:szCs w:val="30"/>
            </w:rPr>
            <w:fldChar w:fldCharType="separate"/>
          </w:r>
          <w:r>
            <w:rPr>
              <w:rFonts w:ascii="Times New Roman" w:eastAsia="宋体"/>
              <w:sz w:val="30"/>
              <w:szCs w:val="30"/>
            </w:rPr>
            <w:t>13</w:t>
          </w:r>
          <w:r>
            <w:rPr>
              <w:rFonts w:ascii="Times New Roman" w:eastAsia="宋体"/>
              <w:sz w:val="30"/>
              <w:szCs w:val="30"/>
            </w:rPr>
            <w:fldChar w:fldCharType="end"/>
          </w:r>
          <w:r>
            <w:rPr>
              <w:rFonts w:ascii="Times New Roman" w:eastAsia="宋体"/>
              <w:sz w:val="30"/>
              <w:szCs w:val="30"/>
            </w:rPr>
            <w:fldChar w:fldCharType="end"/>
          </w:r>
        </w:p>
        <w:p w14:paraId="2E4FF5A8">
          <w:pPr>
            <w:pStyle w:val="11"/>
            <w:tabs>
              <w:tab w:val="right" w:leader="dot" w:pos="8296"/>
            </w:tabs>
            <w:rPr>
              <w:rFonts w:ascii="Times New Roman" w:eastAsia="宋体"/>
              <w:b w:val="0"/>
              <w:bCs w:val="0"/>
              <w:caps w:val="0"/>
              <w:sz w:val="30"/>
              <w:szCs w:val="30"/>
            </w:rPr>
          </w:pPr>
          <w:r>
            <w:fldChar w:fldCharType="begin"/>
          </w:r>
          <w:r>
            <w:instrText xml:space="preserve"> HYPERLINK \l "_Toc174890619" </w:instrText>
          </w:r>
          <w:r>
            <w:fldChar w:fldCharType="separate"/>
          </w:r>
          <w:r>
            <w:rPr>
              <w:rStyle w:val="18"/>
              <w:rFonts w:ascii="Times New Roman" w:eastAsia="宋体"/>
              <w:sz w:val="30"/>
              <w:szCs w:val="30"/>
            </w:rPr>
            <w:t>四、重大分歧意见的处理经过和依据</w:t>
          </w:r>
          <w:r>
            <w:rPr>
              <w:rFonts w:ascii="Times New Roman" w:eastAsia="宋体"/>
              <w:sz w:val="30"/>
              <w:szCs w:val="30"/>
            </w:rPr>
            <w:tab/>
          </w:r>
          <w:r>
            <w:rPr>
              <w:rFonts w:ascii="Times New Roman" w:eastAsia="宋体"/>
              <w:sz w:val="30"/>
              <w:szCs w:val="30"/>
            </w:rPr>
            <w:fldChar w:fldCharType="begin"/>
          </w:r>
          <w:r>
            <w:rPr>
              <w:rFonts w:ascii="Times New Roman" w:eastAsia="宋体"/>
              <w:sz w:val="30"/>
              <w:szCs w:val="30"/>
            </w:rPr>
            <w:instrText xml:space="preserve"> PAGEREF _Toc174890619 \h </w:instrText>
          </w:r>
          <w:r>
            <w:rPr>
              <w:rFonts w:ascii="Times New Roman" w:eastAsia="宋体"/>
              <w:sz w:val="30"/>
              <w:szCs w:val="30"/>
            </w:rPr>
            <w:fldChar w:fldCharType="separate"/>
          </w:r>
          <w:r>
            <w:rPr>
              <w:rFonts w:ascii="Times New Roman" w:eastAsia="宋体"/>
              <w:sz w:val="30"/>
              <w:szCs w:val="30"/>
            </w:rPr>
            <w:t>13</w:t>
          </w:r>
          <w:r>
            <w:rPr>
              <w:rFonts w:ascii="Times New Roman" w:eastAsia="宋体"/>
              <w:sz w:val="30"/>
              <w:szCs w:val="30"/>
            </w:rPr>
            <w:fldChar w:fldCharType="end"/>
          </w:r>
          <w:r>
            <w:rPr>
              <w:rFonts w:ascii="Times New Roman" w:eastAsia="宋体"/>
              <w:sz w:val="30"/>
              <w:szCs w:val="30"/>
            </w:rPr>
            <w:fldChar w:fldCharType="end"/>
          </w:r>
        </w:p>
        <w:p w14:paraId="4C900BFE">
          <w:pPr>
            <w:pStyle w:val="11"/>
            <w:tabs>
              <w:tab w:val="right" w:leader="dot" w:pos="8296"/>
            </w:tabs>
            <w:rPr>
              <w:rFonts w:ascii="Times New Roman" w:eastAsia="宋体"/>
              <w:b w:val="0"/>
              <w:bCs w:val="0"/>
              <w:caps w:val="0"/>
              <w:sz w:val="30"/>
              <w:szCs w:val="30"/>
            </w:rPr>
          </w:pPr>
          <w:r>
            <w:fldChar w:fldCharType="begin"/>
          </w:r>
          <w:r>
            <w:instrText xml:space="preserve"> HYPERLINK \l "_Toc174890620" </w:instrText>
          </w:r>
          <w:r>
            <w:fldChar w:fldCharType="separate"/>
          </w:r>
          <w:r>
            <w:rPr>
              <w:rStyle w:val="18"/>
              <w:rFonts w:ascii="Times New Roman" w:eastAsia="宋体"/>
              <w:sz w:val="30"/>
              <w:szCs w:val="30"/>
            </w:rPr>
            <w:t>五、与有关的现行法律、法规和强制性国家标准的关系</w:t>
          </w:r>
          <w:r>
            <w:rPr>
              <w:rFonts w:ascii="Times New Roman" w:eastAsia="宋体"/>
              <w:sz w:val="30"/>
              <w:szCs w:val="30"/>
            </w:rPr>
            <w:tab/>
          </w:r>
          <w:r>
            <w:rPr>
              <w:rFonts w:ascii="Times New Roman" w:eastAsia="宋体"/>
              <w:sz w:val="30"/>
              <w:szCs w:val="30"/>
            </w:rPr>
            <w:fldChar w:fldCharType="begin"/>
          </w:r>
          <w:r>
            <w:rPr>
              <w:rFonts w:ascii="Times New Roman" w:eastAsia="宋体"/>
              <w:sz w:val="30"/>
              <w:szCs w:val="30"/>
            </w:rPr>
            <w:instrText xml:space="preserve"> PAGEREF _Toc174890620 \h </w:instrText>
          </w:r>
          <w:r>
            <w:rPr>
              <w:rFonts w:ascii="Times New Roman" w:eastAsia="宋体"/>
              <w:sz w:val="30"/>
              <w:szCs w:val="30"/>
            </w:rPr>
            <w:fldChar w:fldCharType="separate"/>
          </w:r>
          <w:r>
            <w:rPr>
              <w:rFonts w:ascii="Times New Roman" w:eastAsia="宋体"/>
              <w:sz w:val="30"/>
              <w:szCs w:val="30"/>
            </w:rPr>
            <w:t>13</w:t>
          </w:r>
          <w:r>
            <w:rPr>
              <w:rFonts w:ascii="Times New Roman" w:eastAsia="宋体"/>
              <w:sz w:val="30"/>
              <w:szCs w:val="30"/>
            </w:rPr>
            <w:fldChar w:fldCharType="end"/>
          </w:r>
          <w:r>
            <w:rPr>
              <w:rFonts w:ascii="Times New Roman" w:eastAsia="宋体"/>
              <w:sz w:val="30"/>
              <w:szCs w:val="30"/>
            </w:rPr>
            <w:fldChar w:fldCharType="end"/>
          </w:r>
        </w:p>
        <w:p w14:paraId="4D28E092">
          <w:pPr>
            <w:pStyle w:val="11"/>
            <w:tabs>
              <w:tab w:val="right" w:leader="dot" w:pos="8296"/>
            </w:tabs>
            <w:rPr>
              <w:rFonts w:ascii="Times New Roman" w:eastAsia="宋体"/>
              <w:b w:val="0"/>
              <w:bCs w:val="0"/>
              <w:caps w:val="0"/>
              <w:sz w:val="30"/>
              <w:szCs w:val="30"/>
            </w:rPr>
          </w:pPr>
          <w:r>
            <w:fldChar w:fldCharType="begin"/>
          </w:r>
          <w:r>
            <w:instrText xml:space="preserve"> HYPERLINK \l "_Toc174890621" </w:instrText>
          </w:r>
          <w:r>
            <w:fldChar w:fldCharType="separate"/>
          </w:r>
          <w:r>
            <w:rPr>
              <w:rStyle w:val="18"/>
              <w:rFonts w:ascii="Times New Roman" w:eastAsia="宋体"/>
              <w:sz w:val="30"/>
              <w:szCs w:val="30"/>
            </w:rPr>
            <w:t>六、贯彻标准的要求和措施建议</w:t>
          </w:r>
          <w:r>
            <w:rPr>
              <w:rFonts w:ascii="Times New Roman" w:eastAsia="宋体"/>
              <w:sz w:val="30"/>
              <w:szCs w:val="30"/>
            </w:rPr>
            <w:tab/>
          </w:r>
          <w:r>
            <w:rPr>
              <w:rFonts w:ascii="Times New Roman" w:eastAsia="宋体"/>
              <w:sz w:val="30"/>
              <w:szCs w:val="30"/>
            </w:rPr>
            <w:fldChar w:fldCharType="begin"/>
          </w:r>
          <w:r>
            <w:rPr>
              <w:rFonts w:ascii="Times New Roman" w:eastAsia="宋体"/>
              <w:sz w:val="30"/>
              <w:szCs w:val="30"/>
            </w:rPr>
            <w:instrText xml:space="preserve"> PAGEREF _Toc174890621 \h </w:instrText>
          </w:r>
          <w:r>
            <w:rPr>
              <w:rFonts w:ascii="Times New Roman" w:eastAsia="宋体"/>
              <w:sz w:val="30"/>
              <w:szCs w:val="30"/>
            </w:rPr>
            <w:fldChar w:fldCharType="separate"/>
          </w:r>
          <w:r>
            <w:rPr>
              <w:rFonts w:ascii="Times New Roman" w:eastAsia="宋体"/>
              <w:sz w:val="30"/>
              <w:szCs w:val="30"/>
            </w:rPr>
            <w:t>14</w:t>
          </w:r>
          <w:r>
            <w:rPr>
              <w:rFonts w:ascii="Times New Roman" w:eastAsia="宋体"/>
              <w:sz w:val="30"/>
              <w:szCs w:val="30"/>
            </w:rPr>
            <w:fldChar w:fldCharType="end"/>
          </w:r>
          <w:r>
            <w:rPr>
              <w:rFonts w:ascii="Times New Roman" w:eastAsia="宋体"/>
              <w:sz w:val="30"/>
              <w:szCs w:val="30"/>
            </w:rPr>
            <w:fldChar w:fldCharType="end"/>
          </w:r>
        </w:p>
        <w:p w14:paraId="2CEB716C">
          <w:pPr>
            <w:pStyle w:val="11"/>
            <w:tabs>
              <w:tab w:val="right" w:leader="dot" w:pos="8296"/>
            </w:tabs>
          </w:pPr>
          <w:r>
            <w:fldChar w:fldCharType="begin"/>
          </w:r>
          <w:r>
            <w:instrText xml:space="preserve"> HYPERLINK \l "_Toc174890622" </w:instrText>
          </w:r>
          <w:r>
            <w:fldChar w:fldCharType="separate"/>
          </w:r>
          <w:r>
            <w:rPr>
              <w:rStyle w:val="18"/>
              <w:rFonts w:ascii="Times New Roman" w:eastAsia="宋体"/>
              <w:sz w:val="30"/>
              <w:szCs w:val="30"/>
            </w:rPr>
            <w:t>七、其它应予说明的事项</w:t>
          </w:r>
          <w:r>
            <w:rPr>
              <w:rFonts w:ascii="Times New Roman" w:eastAsia="宋体"/>
              <w:sz w:val="30"/>
              <w:szCs w:val="30"/>
            </w:rPr>
            <w:tab/>
          </w:r>
          <w:r>
            <w:rPr>
              <w:rFonts w:ascii="Times New Roman" w:eastAsia="宋体"/>
              <w:sz w:val="30"/>
              <w:szCs w:val="30"/>
            </w:rPr>
            <w:fldChar w:fldCharType="begin"/>
          </w:r>
          <w:r>
            <w:rPr>
              <w:rFonts w:ascii="Times New Roman" w:eastAsia="宋体"/>
              <w:sz w:val="30"/>
              <w:szCs w:val="30"/>
            </w:rPr>
            <w:instrText xml:space="preserve"> PAGEREF _Toc174890622 \h </w:instrText>
          </w:r>
          <w:r>
            <w:rPr>
              <w:rFonts w:ascii="Times New Roman" w:eastAsia="宋体"/>
              <w:sz w:val="30"/>
              <w:szCs w:val="30"/>
            </w:rPr>
            <w:fldChar w:fldCharType="separate"/>
          </w:r>
          <w:r>
            <w:rPr>
              <w:rFonts w:ascii="Times New Roman" w:eastAsia="宋体"/>
              <w:sz w:val="30"/>
              <w:szCs w:val="30"/>
            </w:rPr>
            <w:t>14</w:t>
          </w:r>
          <w:r>
            <w:rPr>
              <w:rFonts w:ascii="Times New Roman" w:eastAsia="宋体"/>
              <w:sz w:val="30"/>
              <w:szCs w:val="30"/>
            </w:rPr>
            <w:fldChar w:fldCharType="end"/>
          </w:r>
          <w:r>
            <w:rPr>
              <w:rFonts w:ascii="Times New Roman" w:eastAsia="宋体"/>
              <w:sz w:val="30"/>
              <w:szCs w:val="30"/>
            </w:rPr>
            <w:fldChar w:fldCharType="end"/>
          </w:r>
          <w:r>
            <w:rPr>
              <w:rFonts w:ascii="Times New Roman" w:eastAsia="宋体"/>
              <w:caps w:val="0"/>
              <w:sz w:val="30"/>
              <w:szCs w:val="30"/>
            </w:rPr>
            <w:fldChar w:fldCharType="end"/>
          </w:r>
        </w:p>
      </w:sdtContent>
    </w:sdt>
    <w:p w14:paraId="28A1DAD5">
      <w:pPr>
        <w:pStyle w:val="11"/>
        <w:jc w:val="center"/>
        <w:rPr>
          <w:rFonts w:ascii="Times New Roman" w:eastAsia="黑体"/>
          <w:sz w:val="32"/>
          <w:szCs w:val="32"/>
        </w:rPr>
        <w:sectPr>
          <w:footerReference r:id="rId3" w:type="default"/>
          <w:pgSz w:w="11906" w:h="16838"/>
          <w:pgMar w:top="1440" w:right="1800" w:bottom="1440" w:left="1800" w:header="851" w:footer="992" w:gutter="0"/>
          <w:cols w:space="425" w:num="1"/>
          <w:docGrid w:type="lines" w:linePitch="312" w:charSpace="0"/>
        </w:sectPr>
      </w:pPr>
      <w:r>
        <w:rPr>
          <w:rFonts w:ascii="Times New Roman" w:eastAsia="黑体"/>
          <w:sz w:val="32"/>
          <w:szCs w:val="32"/>
        </w:rPr>
        <w:t xml:space="preserve">  </w:t>
      </w:r>
      <w:r>
        <w:rPr>
          <w:rFonts w:ascii="Times New Roman" w:eastAsia="黑体"/>
          <w:sz w:val="32"/>
          <w:szCs w:val="32"/>
        </w:rPr>
        <w:br w:type="page"/>
      </w:r>
    </w:p>
    <w:p w14:paraId="255840D5">
      <w:pPr>
        <w:pStyle w:val="22"/>
        <w:numPr>
          <w:ilvl w:val="0"/>
          <w:numId w:val="6"/>
        </w:numPr>
        <w:spacing w:before="156" w:beforeLines="50" w:after="156" w:afterLines="50" w:line="360" w:lineRule="auto"/>
        <w:ind w:left="0" w:firstLine="0" w:firstLineChars="0"/>
        <w:jc w:val="left"/>
        <w:outlineLvl w:val="0"/>
        <w:rPr>
          <w:rFonts w:eastAsia="黑体"/>
          <w:b/>
          <w:sz w:val="32"/>
        </w:rPr>
      </w:pPr>
      <w:bookmarkStart w:id="0" w:name="_Toc174890605"/>
      <w:r>
        <w:rPr>
          <w:rFonts w:eastAsia="黑体"/>
          <w:b/>
          <w:sz w:val="32"/>
        </w:rPr>
        <w:t>工作简况</w:t>
      </w:r>
      <w:bookmarkEnd w:id="0"/>
    </w:p>
    <w:p w14:paraId="45BBFA5A">
      <w:pPr>
        <w:pStyle w:val="22"/>
        <w:numPr>
          <w:ilvl w:val="0"/>
          <w:numId w:val="2"/>
        </w:numPr>
        <w:spacing w:before="156" w:beforeLines="50" w:after="156" w:afterLines="50" w:line="360" w:lineRule="auto"/>
        <w:ind w:left="357" w:hanging="357" w:firstLineChars="0"/>
        <w:outlineLvl w:val="1"/>
        <w:rPr>
          <w:rFonts w:eastAsia="黑体"/>
          <w:b/>
          <w:sz w:val="28"/>
        </w:rPr>
      </w:pPr>
      <w:bookmarkStart w:id="1" w:name="_Toc174890606"/>
      <w:r>
        <w:rPr>
          <w:rFonts w:eastAsia="黑体"/>
          <w:b/>
          <w:sz w:val="28"/>
        </w:rPr>
        <w:t>任务来源</w:t>
      </w:r>
      <w:bookmarkEnd w:id="1"/>
    </w:p>
    <w:p w14:paraId="578039C4">
      <w:pPr>
        <w:pStyle w:val="13"/>
        <w:spacing w:before="0" w:beforeAutospacing="0" w:after="0" w:afterAutospacing="0" w:line="360" w:lineRule="auto"/>
        <w:ind w:firstLine="420" w:firstLineChars="200"/>
        <w:jc w:val="both"/>
        <w:rPr>
          <w:rFonts w:ascii="Times New Roman" w:hAnsi="Times New Roman" w:cs="Times New Roman"/>
          <w:sz w:val="21"/>
        </w:rPr>
      </w:pPr>
      <w:r>
        <w:rPr>
          <w:rFonts w:hint="eastAsia" w:ascii="Times New Roman" w:hAnsi="Times New Roman" w:cs="Times New Roman"/>
          <w:sz w:val="21"/>
        </w:rPr>
        <w:t>20</w:t>
      </w:r>
      <w:r>
        <w:rPr>
          <w:rFonts w:ascii="Times New Roman" w:hAnsi="Times New Roman" w:cs="Times New Roman"/>
          <w:sz w:val="21"/>
        </w:rPr>
        <w:t>22</w:t>
      </w:r>
      <w:r>
        <w:rPr>
          <w:rFonts w:hint="eastAsia" w:ascii="Times New Roman" w:hAnsi="Times New Roman" w:cs="Times New Roman"/>
          <w:sz w:val="21"/>
        </w:rPr>
        <w:t>年</w:t>
      </w:r>
      <w:r>
        <w:rPr>
          <w:rFonts w:ascii="Times New Roman" w:hAnsi="Times New Roman" w:cs="Times New Roman"/>
          <w:sz w:val="21"/>
        </w:rPr>
        <w:t>7</w:t>
      </w:r>
      <w:r>
        <w:rPr>
          <w:rFonts w:hint="eastAsia" w:ascii="Times New Roman" w:hAnsi="Times New Roman" w:cs="Times New Roman"/>
          <w:sz w:val="21"/>
        </w:rPr>
        <w:t>月</w:t>
      </w:r>
      <w:r>
        <w:rPr>
          <w:rFonts w:ascii="Times New Roman" w:hAnsi="Times New Roman" w:cs="Times New Roman"/>
          <w:sz w:val="21"/>
        </w:rPr>
        <w:t>20</w:t>
      </w:r>
      <w:r>
        <w:rPr>
          <w:rFonts w:hint="eastAsia" w:ascii="Times New Roman" w:hAnsi="Times New Roman" w:cs="Times New Roman"/>
          <w:sz w:val="21"/>
        </w:rPr>
        <w:t>日，宿迁市市场监督管理局发布了《关于下达2022年度宿迁市地方标准项目计划的通知</w:t>
      </w:r>
      <w:r>
        <w:rPr>
          <w:rFonts w:ascii="Times New Roman" w:hAnsi="Times New Roman" w:cs="Times New Roman"/>
          <w:sz w:val="21"/>
        </w:rPr>
        <w:t>）</w:t>
      </w:r>
      <w:r>
        <w:rPr>
          <w:rFonts w:hint="eastAsia" w:ascii="Times New Roman" w:hAnsi="Times New Roman" w:cs="Times New Roman"/>
          <w:sz w:val="21"/>
        </w:rPr>
        <w:t>，下达了项目名称为《宿迁市灌区节约用水技术导则》</w:t>
      </w:r>
      <w:r>
        <w:rPr>
          <w:rFonts w:ascii="Times New Roman" w:hAnsi="Times New Roman" w:cs="Times New Roman"/>
          <w:sz w:val="21"/>
        </w:rPr>
        <w:t>的</w:t>
      </w:r>
      <w:r>
        <w:rPr>
          <w:rFonts w:hint="eastAsia" w:ascii="Times New Roman" w:hAnsi="Times New Roman" w:cs="Times New Roman"/>
          <w:sz w:val="21"/>
        </w:rPr>
        <w:t>地方</w:t>
      </w:r>
      <w:r>
        <w:rPr>
          <w:rFonts w:ascii="Times New Roman" w:hAnsi="Times New Roman" w:cs="Times New Roman"/>
          <w:sz w:val="21"/>
        </w:rPr>
        <w:t>标准编制任务</w:t>
      </w:r>
      <w:r>
        <w:rPr>
          <w:rFonts w:hint="eastAsia" w:ascii="Times New Roman" w:hAnsi="Times New Roman" w:cs="Times New Roman"/>
          <w:sz w:val="21"/>
        </w:rPr>
        <w:t>。本标准为推荐性标准，标准的主要编制单位为宿迁市节水用水管理服务中心、江苏省水利科学研究院、宿迁市水利局等，项目周期为1年。</w:t>
      </w:r>
    </w:p>
    <w:p w14:paraId="6D3503B2">
      <w:pPr>
        <w:pStyle w:val="13"/>
        <w:numPr>
          <w:ilvl w:val="0"/>
          <w:numId w:val="2"/>
        </w:numPr>
        <w:spacing w:before="156" w:beforeLines="50" w:beforeAutospacing="0" w:after="156" w:afterLines="50" w:afterAutospacing="0" w:line="360" w:lineRule="auto"/>
        <w:ind w:left="357" w:hanging="357"/>
        <w:jc w:val="both"/>
        <w:outlineLvl w:val="1"/>
        <w:rPr>
          <w:rFonts w:ascii="Times New Roman" w:hAnsi="Times New Roman" w:eastAsia="黑体" w:cs="Times New Roman"/>
          <w:b/>
          <w:kern w:val="2"/>
          <w:sz w:val="28"/>
        </w:rPr>
      </w:pPr>
      <w:bookmarkStart w:id="2" w:name="_Toc174890607"/>
      <w:r>
        <w:rPr>
          <w:rFonts w:ascii="Times New Roman" w:hAnsi="Times New Roman" w:eastAsia="黑体" w:cs="Times New Roman"/>
          <w:b/>
          <w:kern w:val="2"/>
          <w:sz w:val="28"/>
        </w:rPr>
        <w:t>编制背景</w:t>
      </w:r>
      <w:bookmarkEnd w:id="2"/>
    </w:p>
    <w:p w14:paraId="25DBA84B">
      <w:pPr>
        <w:pStyle w:val="13"/>
        <w:numPr>
          <w:ilvl w:val="1"/>
          <w:numId w:val="2"/>
        </w:numPr>
        <w:spacing w:before="156" w:beforeLines="50" w:beforeAutospacing="0" w:after="156" w:afterLines="50" w:afterAutospacing="0" w:line="360" w:lineRule="auto"/>
        <w:jc w:val="both"/>
        <w:rPr>
          <w:rFonts w:ascii="Times New Roman" w:hAnsi="Times New Roman" w:eastAsia="黑体" w:cs="Times New Roman"/>
          <w:b/>
          <w:kern w:val="2"/>
          <w:sz w:val="28"/>
        </w:rPr>
      </w:pPr>
      <w:bookmarkStart w:id="3" w:name="_Hlk144594037"/>
      <w:r>
        <w:rPr>
          <w:rFonts w:hint="eastAsia" w:ascii="Times New Roman" w:hAnsi="Times New Roman" w:eastAsia="黑体" w:cs="Times New Roman"/>
          <w:b/>
          <w:kern w:val="2"/>
          <w:sz w:val="28"/>
        </w:rPr>
        <w:t>目的与意义</w:t>
      </w:r>
    </w:p>
    <w:bookmarkEnd w:id="3"/>
    <w:p w14:paraId="76D41CFC">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水安全是我国国家安全体系的重要组成部分，事关经济社会可持续发展、全面建设小康社会和中华民族伟大复兴。我国水安全问题突出表现为水资源短缺、用水效率低下、水生态恶化等，解决这些问题的总钥匙是"节水"，水安全治理的源头也在"节水"。党中央高度重视节约用水工作，习近平总书记提出“节水优先、空间均衡、系统治理、两手发力”的治水思路，并围绕“大力推进农业、工业、城镇等领域节水”“把节水作为南水北调受水区的根本出路”等多次发表重要讲话，要求从观念、措施、行为等各方面把节水摆在优先位置，强调“节水，拧紧水龙头的事，是个等不得、拖不了的当务之急”。</w:t>
      </w:r>
    </w:p>
    <w:p w14:paraId="4268E449">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农业作为用水大户，中央2017年一号文件，提出把农业节水作为方向性、战略性大事来抓，建设现代化灌区。灌区建设已经成为国家农业建设的战略需求，以信息化、自动化、现代科技为引领，以先进技术和设备打造灌区节水、资源高效利用、生态环境优美的工程设施，以现代管理制度完善灌区公平、可靠、灵活的供水服务和有效的防灾减灾体系，壮大灌区实力、实现乡村振兴，建设设施完备、工程安全、灌溉高效、管理先进、防灾有力、生态健康的灌区，保障国家粮食安全和农产品有效供给。</w:t>
      </w:r>
    </w:p>
    <w:p w14:paraId="4D0A9E5C">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灌区是经济和农业发展的核心区，也是节水潜力最大的区域。随着经济社会的发展，用水需求的不断提高，《江苏省林牧渔业、工业、生活和服务业用水定额（2019年修订）》、《农业用水定额》（DB3213/T1032-2021）等用水定额的发布与更新，亟需一部标准来为水行政主管部门和灌区用水户提供技术支撑，制定和实施《灌区节约用水技术导则》对践行江苏省节水行动方案，促进宿迁市农业用水效率、规范灌区管理、保障粮食安全，以水资源的可持续利用推动宿迁市经济社会高质量发展具有重要意义。</w:t>
      </w:r>
    </w:p>
    <w:p w14:paraId="2B6A0118">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（1）落实国家和地方相关政策的精神</w:t>
      </w:r>
    </w:p>
    <w:p w14:paraId="1CB8CF1C">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水利部办公厅深入开展节水型灌区创建工作的通知》（办农水〔2021〕107号）要求加快推进节水型灌区建设，促进灌区高质量发展。省发展和改革委、省水利厅、省住房和城乡建设厅、省工业和信息化厅、省农业农村厅日前联合印发《江苏省“十四五”节水型社会建设规划》要求严格水资源刚性约束，规范取水、用水、耗水、排水、再利用全过程节水管理要求，针对农业等重点领域，扎实推进强化刚性约束、强化综合示范、强化指导服务、强化科技支撑、强化机制激励、强化社会意识等6项重点任务。《省水利厅 省发改委关于印发江苏省节水行动实施方案2022年工作任务的通知》（苏水节〔2022〕4号）要求：加大大中型灌区续建配套与节水改造力度，推进灌区现代化建设进程。因此，制定和实施《灌区节约用水技术导则》，是深入贯彻落实“十六字”治水思路，立足新发展阶段、贯彻新发展理念，坚持以水定城、以水定地、以水定产、以水定人，全面建立水资源刚性约束制度，构建“保障有力、科学配置、集约节约、高效利用”节水新格局的重要举措。</w:t>
      </w:r>
    </w:p>
    <w:p w14:paraId="78EE3365">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（2）满足宿迁市灌区节水工作的实际需求</w:t>
      </w:r>
    </w:p>
    <w:p w14:paraId="65369BCE">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宿迁市共有大中型灌区21个，设计灌溉面积574.22万亩，有效灌溉面积489.39万亩。其中大型灌区7个，设计灌溉面积328.65万亩，有效灌溉面积292.22万亩；中型灌区14个，设计灌溉面积232.01万亩，有效灌溉面积183.61万亩；小型灌区37个，有效灌溉面积13.56万亩。灌排建筑物12.43万座，灌排泵站3333座，干、支渠298条总长1443公里。目前，全市大型灌区骨干工程配套率60%—83%，骨干工程完好率45%—89%，灌溉保证率70%—85%，农田灌溉水有效利用系数0.540—0.610。有关指标较全省先进水平还有一定的差距，有较大的节约用水空间，通过制定《灌区节约用水技术导则》，有利于水行政主管部门对灌区进行节约用水规范化管理，指导用水户提高节水技术和节水管理，促进灌区农业用水由粗放向集约转变。</w:t>
      </w:r>
    </w:p>
    <w:p w14:paraId="7B042040">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（3）填补江苏省和宿迁市《灌区节约用水技术导则》标准空白</w:t>
      </w:r>
    </w:p>
    <w:p w14:paraId="68561F19">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目前，江苏省和宿迁市对灌区的管理主要依据《取水许可和水资源费征收管理条例》（2017年修订）、《计划用水管理办法》（水资源〔2014〕360号）、《江苏省水资源管理条例》、《江苏省节约用水条例》、《江苏省计划用水管理办法》（苏水规〔2016〕4号）等，上述相关文件缺少对灌区节水工作专业、系统、全面的指导，且全省均未针对灌区出台节水工作技术导则，而北京于2010年已经出台该类似标准，山东省2019年出台类似标准。因此，宿迁市在对全市灌区现场调研的基础上，率先出台《灌区节约用水技术导则》，在全省处于领先地位，填补了江苏省该类型标准的空白。</w:t>
      </w:r>
    </w:p>
    <w:p w14:paraId="4AF3F8FE">
      <w:pPr>
        <w:pStyle w:val="13"/>
        <w:numPr>
          <w:ilvl w:val="1"/>
          <w:numId w:val="2"/>
        </w:numPr>
        <w:spacing w:before="156" w:beforeLines="50" w:beforeAutospacing="0" w:after="156" w:afterLines="50" w:afterAutospacing="0" w:line="360" w:lineRule="auto"/>
        <w:jc w:val="both"/>
        <w:rPr>
          <w:rFonts w:ascii="Times New Roman" w:hAnsi="Times New Roman" w:eastAsia="黑体" w:cs="Times New Roman"/>
          <w:b/>
          <w:kern w:val="2"/>
          <w:sz w:val="28"/>
        </w:rPr>
      </w:pPr>
      <w:r>
        <w:rPr>
          <w:rFonts w:hint="eastAsia" w:ascii="Times New Roman" w:hAnsi="Times New Roman" w:eastAsia="黑体" w:cs="Times New Roman"/>
          <w:b/>
          <w:kern w:val="2"/>
          <w:sz w:val="28"/>
        </w:rPr>
        <w:t>可产生的经济社会和生态效益分析</w:t>
      </w:r>
    </w:p>
    <w:p w14:paraId="0CA40C3B">
      <w:pPr>
        <w:pStyle w:val="13"/>
        <w:spacing w:line="360" w:lineRule="auto"/>
        <w:ind w:firstLine="420" w:firstLineChars="200"/>
        <w:rPr>
          <w:rFonts w:ascii="Times New Roman" w:hAnsi="Times New Roman" w:cs="Times New Roman"/>
          <w:sz w:val="21"/>
        </w:rPr>
      </w:pPr>
      <w:r>
        <w:rPr>
          <w:rFonts w:hint="eastAsia" w:ascii="Times New Roman" w:hAnsi="Times New Roman" w:cs="Times New Roman"/>
          <w:sz w:val="21"/>
        </w:rPr>
        <w:t>本导则的制定与实施，有利于完善宿迁市灌区相关管理制度，促进提升全市灌区管理规范化、标准化水平，为水行政主管部门日常指导和规范工作人员的执行提供依据和保障，可提升农业用水效率和用水水平，促进灌区高质量发展，推动节水型社会建设和生态文明城市建设发展。从而，以水资源的可持续利用推动宿迁市经济社会可持续发展，可产生较大的经济社会和生态效益。</w:t>
      </w:r>
    </w:p>
    <w:p w14:paraId="0C75F2C0">
      <w:pPr>
        <w:pStyle w:val="13"/>
        <w:numPr>
          <w:ilvl w:val="0"/>
          <w:numId w:val="2"/>
        </w:numPr>
        <w:spacing w:before="156" w:beforeLines="50" w:beforeAutospacing="0" w:after="156" w:afterLines="50" w:afterAutospacing="0" w:line="360" w:lineRule="auto"/>
        <w:ind w:left="0" w:firstLine="0"/>
        <w:outlineLvl w:val="1"/>
        <w:rPr>
          <w:rFonts w:ascii="Times New Roman" w:hAnsi="Times New Roman" w:eastAsia="黑体" w:cs="Times New Roman"/>
          <w:b/>
          <w:kern w:val="2"/>
          <w:sz w:val="28"/>
        </w:rPr>
      </w:pPr>
      <w:bookmarkStart w:id="4" w:name="_Toc174890608"/>
      <w:r>
        <w:rPr>
          <w:rFonts w:ascii="Times New Roman" w:hAnsi="Times New Roman" w:eastAsia="黑体" w:cs="Times New Roman"/>
          <w:b/>
          <w:kern w:val="2"/>
          <w:sz w:val="28"/>
        </w:rPr>
        <w:t>国内外情况说明</w:t>
      </w:r>
      <w:bookmarkEnd w:id="4"/>
    </w:p>
    <w:p w14:paraId="23EE75E3">
      <w:pPr>
        <w:pStyle w:val="13"/>
        <w:spacing w:before="156" w:beforeLines="50" w:beforeAutospacing="0" w:after="156" w:afterLines="50" w:afterAutospacing="0" w:line="360" w:lineRule="auto"/>
        <w:outlineLvl w:val="2"/>
        <w:rPr>
          <w:rFonts w:ascii="Times New Roman" w:hAnsi="Times New Roman" w:eastAsia="黑体" w:cs="Times New Roman"/>
          <w:b/>
        </w:rPr>
      </w:pPr>
      <w:r>
        <w:rPr>
          <w:rFonts w:ascii="Times New Roman" w:hAnsi="Times New Roman" w:eastAsia="黑体" w:cs="Times New Roman"/>
          <w:b/>
        </w:rPr>
        <w:t xml:space="preserve">3.1 </w:t>
      </w:r>
      <w:r>
        <w:rPr>
          <w:rFonts w:hint="eastAsia" w:ascii="Times New Roman" w:hAnsi="Times New Roman" w:eastAsia="黑体" w:cs="Times New Roman"/>
          <w:b/>
        </w:rPr>
        <w:t>国内灌区节水技术研究现状</w:t>
      </w:r>
    </w:p>
    <w:p w14:paraId="0E2D398B">
      <w:pPr>
        <w:spacing w:line="360" w:lineRule="auto"/>
        <w:ind w:firstLine="420" w:firstLineChars="200"/>
        <w:rPr>
          <w:rFonts w:ascii="宋体" w:hAnsi="宋体" w:cs="宋体"/>
          <w:szCs w:val="21"/>
        </w:rPr>
      </w:pPr>
      <w:r>
        <w:rPr>
          <w:rFonts w:hint="eastAsia" w:ascii="宋体" w:hAnsi="宋体" w:cs="宋体"/>
          <w:szCs w:val="21"/>
        </w:rPr>
        <w:t>目前，国内有关节水灌溉技术的研究大部分从农户的角度，韩洪云通过对辽宁省农户灌溉技术选择行为实证研究得到，农户无论是采用传统技术，还是采用现代技术，农户的灌水边际收益都低于边际成本，因此，农户的灌溉行为并非利润最大化行为。韩青等通过山西省的农户调查资料，对农户灌溉技术选择的影响因素做了实证研究。研究表明，粮食作物和经济作物在灌溉技术选择中表现出明显的差异，粮食作物一般采用水利用率较低的传统技术，而经济作物一般采用水利用率较高的现代技术。模型估计结果显示，水资源短缺程度会影响农户灌溉技术的选择：水价和是否有政府扶持对经济作物灌溉技术选择有显著的影响。而这两个因素对</w:t>
      </w:r>
      <w:r>
        <w:rPr>
          <w:rFonts w:hint="eastAsia" w:ascii="宋体" w:hAnsi="宋体" w:cs="宋体"/>
          <w:szCs w:val="21"/>
          <w:highlight w:val="none"/>
        </w:rPr>
        <w:t>粮食</w:t>
      </w:r>
      <w:r>
        <w:rPr>
          <w:rFonts w:hint="eastAsia" w:ascii="宋体" w:hAnsi="宋体" w:cs="宋体"/>
          <w:szCs w:val="21"/>
        </w:rPr>
        <w:t>作物灌溉技术选择几乎没有影响。李艳从博弈论的角度，分析了水价与节水灌溉之间的关系，说明水价的提高激励了节水灌溉技术的采用。韩青通过建立农户灌溉技术选择的完全信息静态博弈模型，依据利润最大化原则。分析了激励机制在农户技术选择中所起的作用。得出结论为：有效的激励机制可以增加农户选用先进节水技术的预期，使农户灌溉技术供给行为从违约转向合作，从而增加节水灌溉技术供给。于法稳指出灌溉水价的调整对农户用水行为产生一定的影响，从而诱导出农户的节水行为。马培衢研究结果显示，水渠过水能力、水利资产控制权安排和农户的资源禀赋状况等因素对农户灌溉方式选择行为都有不同程度的影响。刘红梅从农户自身、自然环境、经济和政策等因素方面选取经营规模、耕地细碎化程度、农户经济状况和水价等13项指标实证分析了影响农户采用节水灌溉技术行为，得出提高农民文化水平、加大节水宣传教育力度、扩大经营规模、培育用水者协会等能促进农户采用节水灌溉技术。高雷调研了新疆膜下滴灌技术采纳情况后研究得出，农户采纳行为受农户的文化素质、风险偏好、农户对农业新技术的态度以及农村文化、农户的价值观念、农户所处的社会阶层、农村基层组织、农业保险和农业推广体系等方面的内外因素影响。刘国勇通过对新疆焉耆盆地农户灌溉行为选择实地调研的基础上，运用 Log it 模型，分析研究了影响干旱区农户灌溉行为选择的因素，研究结果表明：提高干旱区少数民族农户的科技文化水平、加强对农户节水灌溉技术培训力度、发展适度规模经营、集中统一种植、加大政府对节水灌溉技术推广应用的资金扶持力度等对于推进干旱区农户积极采取节水灌溉技术有显著影响。李佳怡探究在不同的农业技术扩散环境地区农户技术采用行为对农业技术扩散环境的影响，通过对西北干旱半干旱地区377个农户的调查数据分析，建立了影响农户参与节水灌溉技术因素的 logistic 模型。结果表明，在农技高水平区，国家扶持政策是激励农户采用节水灌溉的主要因素；在农技中等水平地区，农户采用行为易受培训次数以及农区自然条件影响；而在农技低水平地区，主要是农户的信息便捷度、自然条件以及农户的风险意识影响着节水灌溉技术的采用：应通过加大支持力度，强化农民教育与培训，改善区域信息环境等措施使农业技术扩散环境从低水平区向高水平区过渡。陆文聪通过计量分析得出年龄、收入、制度、增收和风险等都是显著影响农户采用节水灌溉技术的因素，并提出相关对策。</w:t>
      </w:r>
    </w:p>
    <w:p w14:paraId="7805462F">
      <w:pPr>
        <w:spacing w:line="360" w:lineRule="auto"/>
        <w:ind w:firstLine="420" w:firstLineChars="200"/>
        <w:rPr>
          <w:rFonts w:ascii="宋体" w:hAnsi="宋体" w:cs="宋体"/>
          <w:szCs w:val="21"/>
        </w:rPr>
      </w:pPr>
      <w:r>
        <w:rPr>
          <w:rFonts w:hint="eastAsia" w:ascii="宋体" w:hAnsi="宋体" w:cs="宋体"/>
          <w:szCs w:val="21"/>
        </w:rPr>
        <w:t>此外，有关农业节水灌溉技术选择的研究，还有从高效节水灌溉技术采用的经济效益评价、激励机制及推广对策等方面进行了较多研究。例如，柴付军、汪希成对新疆兵团棉花膜下滴灌技术的经济效益进行了测算和评价，得出滴灌技术应用具有很明显的经济、社会和生态效益。段永红等从农业水权和水价制度两方面研究了农田灌溉节水激励机制形成的路径，并运用利润最大化模型，对五种不同水权和水费计收方式组合情况下的节水激励效应进行了分析和比较。得出农田灌溉节水激励机制形成有赖于水权与水价制度创新的结论。王金霞、方国华、高明、孟戈、代小平等从不同视角探讨了有关对节水灌溉技术选择的激励问题。</w:t>
      </w:r>
    </w:p>
    <w:p w14:paraId="7D627E38">
      <w:pPr>
        <w:pStyle w:val="13"/>
        <w:spacing w:before="156" w:beforeLines="50" w:beforeAutospacing="0" w:after="156" w:afterLines="50" w:afterAutospacing="0" w:line="360" w:lineRule="auto"/>
        <w:outlineLvl w:val="2"/>
        <w:rPr>
          <w:rFonts w:ascii="Times New Roman" w:hAnsi="Times New Roman" w:eastAsia="黑体" w:cs="Times New Roman"/>
          <w:b/>
        </w:rPr>
      </w:pPr>
      <w:r>
        <w:rPr>
          <w:rFonts w:ascii="Times New Roman" w:hAnsi="Times New Roman" w:eastAsia="黑体" w:cs="Times New Roman"/>
          <w:b/>
        </w:rPr>
        <w:t xml:space="preserve">3.2 </w:t>
      </w:r>
      <w:r>
        <w:rPr>
          <w:rFonts w:hint="eastAsia" w:ascii="Times New Roman" w:hAnsi="Times New Roman" w:eastAsia="黑体" w:cs="Times New Roman"/>
          <w:b/>
        </w:rPr>
        <w:t>国外灌区节水技术研究现状</w:t>
      </w:r>
    </w:p>
    <w:p w14:paraId="46912201">
      <w:pPr>
        <w:spacing w:line="360" w:lineRule="auto"/>
        <w:ind w:firstLine="420" w:firstLineChars="200"/>
        <w:rPr>
          <w:rFonts w:ascii="宋体" w:hAnsi="宋体" w:cs="宋体"/>
          <w:szCs w:val="21"/>
        </w:rPr>
      </w:pPr>
      <w:r>
        <w:rPr>
          <w:rFonts w:hint="eastAsia" w:ascii="宋体" w:hAnsi="宋体" w:cs="宋体"/>
          <w:szCs w:val="21"/>
        </w:rPr>
        <w:t>国外有关节水灌溉技术选择方面研究很多。主要针对农户对灌溉技术选择的影响因素及决策行为进行大量的研究。</w:t>
      </w:r>
      <w:r>
        <w:rPr>
          <w:szCs w:val="21"/>
        </w:rPr>
        <w:t>Caswell et al.</w:t>
      </w:r>
      <w:r>
        <w:rPr>
          <w:rFonts w:hint="eastAsia" w:ascii="宋体" w:hAnsi="宋体" w:cs="宋体"/>
          <w:szCs w:val="21"/>
        </w:rPr>
        <w:t>对加利福尼亚洲果农选择灌溉方式的影响因素研究得出。节水程度越高、较高的水价、农户的收入水平越高和对果农征收水使用税等能影响农户对节水灌溉技术的选择。</w:t>
      </w:r>
      <w:r>
        <w:rPr>
          <w:szCs w:val="21"/>
        </w:rPr>
        <w:t>Caswel1 et al.</w:t>
      </w:r>
      <w:r>
        <w:rPr>
          <w:rFonts w:hint="eastAsia" w:ascii="宋体" w:hAnsi="宋体" w:cs="宋体"/>
          <w:szCs w:val="21"/>
        </w:rPr>
        <w:t>通过研究地下水深度和土地质量对灌溉技术选择的影响表明，地下水深度和土地质量对节水灌溉技术选择具有一定影响，地下水深和土地质量差的地方就越容易采用节水灌溉技术。</w:t>
      </w:r>
      <w:r>
        <w:rPr>
          <w:szCs w:val="21"/>
        </w:rPr>
        <w:t>Dinar et al.</w:t>
      </w:r>
      <w:r>
        <w:rPr>
          <w:rFonts w:hint="eastAsia" w:ascii="宋体" w:hAnsi="宋体" w:cs="宋体"/>
          <w:szCs w:val="21"/>
        </w:rPr>
        <w:t>对以色列滴灌、喷灌等七种灌溉技术选择研究表明，水价、作物的收益和补贴对节水灌溉技术的选择具有较大影响。Green et al.通过对相关数据计量研究得出，作物性质、耕地质量和是否采用地表水等因素对高效节水灌溉技术的选择具有显著影响，水价不是影响农户采用节水灌溉技术的主要因素，不同的特点的土地采用滴灌和喷灌的概率不同。农户耕作土地的规模对其采用不同的节水灌溉方式具有很大影响。 Eric通过对科罗拉多洲多年严重干旱的数据实证研究干旱程度对农户节水灌溉技术选择的影响，得出干旱程度显著地提高了农户采用更有效的喷灌技术、田地规模和水供给的可获得性是农业节水技术选择的主要因素。</w:t>
      </w:r>
    </w:p>
    <w:p w14:paraId="48D25D59">
      <w:pPr>
        <w:pStyle w:val="13"/>
        <w:spacing w:before="156" w:beforeLines="50" w:beforeAutospacing="0" w:after="156" w:afterLines="50" w:afterAutospacing="0" w:line="360" w:lineRule="auto"/>
        <w:outlineLvl w:val="2"/>
        <w:rPr>
          <w:rFonts w:ascii="Times New Roman" w:hAnsi="Times New Roman" w:eastAsia="黑体" w:cs="Times New Roman"/>
          <w:b/>
        </w:rPr>
      </w:pPr>
      <w:r>
        <w:rPr>
          <w:rFonts w:ascii="Times New Roman" w:hAnsi="Times New Roman" w:eastAsia="黑体" w:cs="Times New Roman"/>
          <w:b/>
        </w:rPr>
        <w:t xml:space="preserve">3.3 </w:t>
      </w:r>
      <w:r>
        <w:rPr>
          <w:rFonts w:hint="eastAsia" w:ascii="Times New Roman" w:hAnsi="Times New Roman" w:eastAsia="黑体" w:cs="Times New Roman"/>
          <w:b/>
        </w:rPr>
        <w:t>国内外研究评价及发展趋势预测</w:t>
      </w:r>
    </w:p>
    <w:p w14:paraId="49540921">
      <w:pPr>
        <w:spacing w:line="360" w:lineRule="auto"/>
        <w:ind w:firstLine="420" w:firstLineChars="200"/>
        <w:rPr>
          <w:rFonts w:ascii="宋体" w:hAnsi="宋体" w:cs="宋体"/>
          <w:szCs w:val="21"/>
        </w:rPr>
      </w:pPr>
      <w:r>
        <w:rPr>
          <w:rFonts w:hint="eastAsia" w:ascii="宋体" w:hAnsi="宋体" w:cs="宋体"/>
          <w:szCs w:val="21"/>
        </w:rPr>
        <w:t>有关农业技术选择方面研究，国外主要集中在农业的诱致技术选择方面的研究，从技术对农业增长的促进方面取得成果也较多，例如，舒尔茨认为技术在改造传统农业中的作用。但是，针对发展中国家某一特殊组织下的农业技术选择问题研究文献还很少发现，例如新疆兵团对农业技术选择方面。</w:t>
      </w:r>
    </w:p>
    <w:p w14:paraId="37EF231C">
      <w:pPr>
        <w:spacing w:line="360" w:lineRule="auto"/>
        <w:ind w:firstLine="420" w:firstLineChars="200"/>
        <w:rPr>
          <w:rFonts w:ascii="宋体" w:hAnsi="宋体" w:cs="宋体"/>
          <w:szCs w:val="21"/>
        </w:rPr>
      </w:pPr>
      <w:r>
        <w:rPr>
          <w:rFonts w:hint="eastAsia" w:ascii="宋体" w:hAnsi="宋体" w:cs="宋体"/>
          <w:szCs w:val="21"/>
        </w:rPr>
        <w:t>国内对诱致性技术创新研究最早起源于林毅夫对诱致性技术创新假说对中国农业经济发展一些现象的验证，证实诱致性技术创新假说对解释中国农业增长同样有效。对于节水灌溉技术选择问题研究，国内学者大都从农户视角分析影响节水技术选择的影响因素，对干旱地区节水灌溉技术选择各主体行为和选择机制及成功案例的理论和实践研究较少。</w:t>
      </w:r>
    </w:p>
    <w:p w14:paraId="6C22C721">
      <w:pPr>
        <w:spacing w:line="360" w:lineRule="auto"/>
        <w:ind w:firstLine="420" w:firstLineChars="200"/>
        <w:rPr>
          <w:rFonts w:ascii="宋体" w:hAnsi="宋体" w:cs="宋体"/>
          <w:szCs w:val="21"/>
        </w:rPr>
      </w:pPr>
      <w:r>
        <w:rPr>
          <w:rFonts w:hint="eastAsia" w:ascii="宋体" w:hAnsi="宋体" w:cs="宋体"/>
          <w:szCs w:val="21"/>
        </w:rPr>
        <w:t>关于节水灌溉技术选择的研究，国外集中于对农户对节水灌溉技术选择的影响因素研究。国内主要有几个方面，一是农户视角；二是节水灌溉技术的经济效益评价；三是节水灌溉技术选择的激励方面研究。近年来，我国节水灌溉技术发展迅速，节水灌溉技术推广规模大、速度快、效果好，在节水工作中发挥越来越重要的支撑作用。</w:t>
      </w:r>
    </w:p>
    <w:p w14:paraId="0D3E34A7">
      <w:pPr>
        <w:spacing w:line="360" w:lineRule="auto"/>
        <w:ind w:firstLine="420" w:firstLineChars="200"/>
        <w:rPr>
          <w:rFonts w:ascii="宋体" w:hAnsi="宋体" w:cs="宋体"/>
          <w:szCs w:val="21"/>
        </w:rPr>
      </w:pPr>
      <w:r>
        <w:rPr>
          <w:rFonts w:hint="eastAsia" w:ascii="宋体" w:hAnsi="宋体" w:cs="宋体"/>
          <w:szCs w:val="21"/>
        </w:rPr>
        <w:t>节水灌溉管理和技术发展需要标准、制度先行，江苏省目前还未出台相关的灌区节水标准（地标等），因此，制定宿迁市灌区节约用水技术导则将填补了江苏省该类型标准的空白，可提升农业用水效率和用水水平，促进灌区高质量发展，有效破解水资源承载力不能较好适应宿迁市经济社会高质量发展的难题。</w:t>
      </w:r>
    </w:p>
    <w:p w14:paraId="2676A14B">
      <w:pPr>
        <w:pStyle w:val="13"/>
        <w:numPr>
          <w:ilvl w:val="0"/>
          <w:numId w:val="2"/>
        </w:numPr>
        <w:spacing w:before="156" w:beforeLines="50" w:beforeAutospacing="0" w:after="156" w:afterLines="50" w:afterAutospacing="0" w:line="360" w:lineRule="auto"/>
        <w:ind w:left="0" w:firstLine="0"/>
        <w:outlineLvl w:val="1"/>
        <w:rPr>
          <w:rFonts w:ascii="Times New Roman" w:hAnsi="Times New Roman" w:eastAsia="黑体" w:cs="Times New Roman"/>
          <w:b/>
          <w:kern w:val="2"/>
          <w:sz w:val="28"/>
        </w:rPr>
      </w:pPr>
      <w:bookmarkStart w:id="5" w:name="_Toc26867872"/>
      <w:bookmarkStart w:id="6" w:name="_Toc34315207"/>
      <w:bookmarkStart w:id="7" w:name="_Toc26889809"/>
      <w:bookmarkStart w:id="8" w:name="_Toc174890609"/>
      <w:r>
        <w:rPr>
          <w:rFonts w:ascii="Times New Roman" w:hAnsi="Times New Roman" w:eastAsia="黑体" w:cs="Times New Roman"/>
          <w:b/>
          <w:kern w:val="2"/>
          <w:sz w:val="28"/>
        </w:rPr>
        <w:t>编制原则和依据</w:t>
      </w:r>
      <w:bookmarkEnd w:id="5"/>
      <w:bookmarkEnd w:id="6"/>
      <w:bookmarkEnd w:id="7"/>
      <w:bookmarkEnd w:id="8"/>
    </w:p>
    <w:p w14:paraId="30167DAF">
      <w:pPr>
        <w:pStyle w:val="13"/>
        <w:spacing w:before="156" w:beforeLines="50" w:beforeAutospacing="0" w:after="156" w:afterLines="50" w:afterAutospacing="0" w:line="360" w:lineRule="auto"/>
        <w:outlineLvl w:val="2"/>
        <w:rPr>
          <w:rFonts w:ascii="Times New Roman" w:hAnsi="Times New Roman" w:eastAsia="黑体" w:cs="Times New Roman"/>
          <w:b/>
        </w:rPr>
      </w:pPr>
      <w:bookmarkStart w:id="9" w:name="_Toc26889810"/>
      <w:bookmarkStart w:id="10" w:name="_Toc21856"/>
      <w:bookmarkStart w:id="11" w:name="_Toc34315208"/>
      <w:bookmarkStart w:id="12" w:name="_Toc26867873"/>
      <w:r>
        <w:rPr>
          <w:rFonts w:ascii="Times New Roman" w:hAnsi="Times New Roman" w:eastAsia="黑体" w:cs="Times New Roman"/>
          <w:b/>
        </w:rPr>
        <w:t>4.1编制原则</w:t>
      </w:r>
      <w:bookmarkEnd w:id="9"/>
      <w:bookmarkEnd w:id="10"/>
      <w:bookmarkEnd w:id="11"/>
      <w:bookmarkEnd w:id="12"/>
    </w:p>
    <w:p w14:paraId="69E06855">
      <w:pPr>
        <w:pStyle w:val="13"/>
        <w:spacing w:before="0" w:beforeAutospacing="0" w:after="0" w:afterAutospacing="0" w:line="360" w:lineRule="auto"/>
        <w:ind w:firstLine="420" w:firstLineChars="200"/>
        <w:jc w:val="both"/>
        <w:rPr>
          <w:rFonts w:ascii="Times New Roman" w:hAnsi="Times New Roman" w:cs="Times New Roman"/>
          <w:sz w:val="21"/>
        </w:rPr>
      </w:pPr>
      <w:r>
        <w:rPr>
          <w:rFonts w:ascii="Times New Roman" w:hAnsi="Times New Roman" w:cs="Times New Roman"/>
          <w:sz w:val="21"/>
        </w:rPr>
        <w:t>本标准的制定工作遵循</w:t>
      </w:r>
      <w:r>
        <w:rPr>
          <w:rFonts w:hint="eastAsia" w:ascii="Times New Roman" w:hAnsi="Times New Roman" w:cs="Times New Roman"/>
          <w:sz w:val="21"/>
        </w:rPr>
        <w:t>“</w:t>
      </w:r>
      <w:r>
        <w:rPr>
          <w:rFonts w:ascii="Times New Roman" w:hAnsi="Times New Roman" w:cs="Times New Roman"/>
          <w:sz w:val="21"/>
        </w:rPr>
        <w:t>统一性、协调性、适用性、一致性、规范性</w:t>
      </w:r>
      <w:r>
        <w:rPr>
          <w:rFonts w:hint="eastAsia" w:ascii="Times New Roman" w:hAnsi="Times New Roman" w:cs="Times New Roman"/>
          <w:sz w:val="21"/>
        </w:rPr>
        <w:t>”</w:t>
      </w:r>
      <w:r>
        <w:rPr>
          <w:rFonts w:ascii="Times New Roman" w:hAnsi="Times New Roman" w:cs="Times New Roman"/>
          <w:sz w:val="21"/>
        </w:rPr>
        <w:t>的原则，本着先进性、科学性、合理性和可操作性的原则，按照GB/T 1.1-2020《标准化工作导则 第</w:t>
      </w:r>
      <w:r>
        <w:rPr>
          <w:rFonts w:hint="eastAsia" w:ascii="Times New Roman" w:hAnsi="Times New Roman" w:cs="Times New Roman"/>
          <w:sz w:val="21"/>
        </w:rPr>
        <w:t>1</w:t>
      </w:r>
      <w:r>
        <w:rPr>
          <w:rFonts w:ascii="Times New Roman" w:hAnsi="Times New Roman" w:cs="Times New Roman"/>
          <w:sz w:val="21"/>
        </w:rPr>
        <w:t>部分：标准的结构和编写》给出的规则编写。</w:t>
      </w:r>
    </w:p>
    <w:p w14:paraId="610F62D6">
      <w:pPr>
        <w:pStyle w:val="13"/>
        <w:spacing w:before="156" w:beforeLines="50" w:beforeAutospacing="0" w:after="156" w:afterLines="50" w:afterAutospacing="0" w:line="360" w:lineRule="auto"/>
        <w:outlineLvl w:val="2"/>
        <w:rPr>
          <w:rFonts w:ascii="Times New Roman" w:hAnsi="Times New Roman" w:eastAsia="黑体" w:cs="Times New Roman"/>
          <w:b/>
        </w:rPr>
      </w:pPr>
      <w:bookmarkStart w:id="13" w:name="_Toc34315209"/>
      <w:bookmarkStart w:id="14" w:name="_Toc26867874"/>
      <w:bookmarkStart w:id="15" w:name="_Toc26889811"/>
      <w:r>
        <w:rPr>
          <w:rFonts w:ascii="Times New Roman" w:hAnsi="Times New Roman" w:eastAsia="黑体" w:cs="Times New Roman"/>
          <w:b/>
        </w:rPr>
        <w:t>4.2编制依据</w:t>
      </w:r>
      <w:bookmarkEnd w:id="13"/>
      <w:bookmarkEnd w:id="14"/>
      <w:bookmarkEnd w:id="15"/>
    </w:p>
    <w:p w14:paraId="264FA368">
      <w:pPr>
        <w:pStyle w:val="13"/>
        <w:spacing w:before="0" w:beforeAutospacing="0" w:after="0" w:afterAutospacing="0" w:line="360" w:lineRule="auto"/>
        <w:ind w:firstLine="420" w:firstLineChars="200"/>
        <w:jc w:val="both"/>
        <w:rPr>
          <w:rFonts w:ascii="Times New Roman" w:hAnsi="Times New Roman" w:cs="Times New Roman"/>
          <w:sz w:val="21"/>
        </w:rPr>
      </w:pPr>
      <w:r>
        <w:rPr>
          <w:rFonts w:hint="eastAsia" w:ascii="Times New Roman" w:hAnsi="Times New Roman" w:cs="Times New Roman"/>
          <w:sz w:val="21"/>
        </w:rPr>
        <w:t>本标准的编制参考了《中华人民共和国水法》（2016年7月修订）、《取水许可管理办法》（2017年12月修正）、《江苏省节约用水条例》（2016年5月施行）、《江苏省用水总量控制管理办法》（2016年10月施行）、《省水利厅关于开展江苏省节水型灌区创建工作的通知》（苏水农〔2021〕10号），并根据宿迁市实际情况，结合宿迁市节约用水管理服务中心多年的管理经验和江苏省水利科学研究院多年的实践经验而制定的，不违反相关法律法规及强制性标准，相关要求和技术参数都严于参考的相关法律法规及标准。</w:t>
      </w:r>
    </w:p>
    <w:p w14:paraId="583C8354">
      <w:pPr>
        <w:pStyle w:val="13"/>
        <w:spacing w:before="0" w:beforeAutospacing="0" w:after="0" w:afterAutospacing="0" w:line="360" w:lineRule="auto"/>
        <w:ind w:firstLine="420" w:firstLineChars="200"/>
        <w:jc w:val="both"/>
        <w:rPr>
          <w:rFonts w:ascii="Times New Roman" w:hAnsi="Times New Roman" w:cs="Times New Roman"/>
          <w:bCs/>
          <w:sz w:val="21"/>
        </w:rPr>
      </w:pPr>
      <w:bookmarkStart w:id="16" w:name="_Hlk20215524"/>
      <w:r>
        <w:rPr>
          <w:rFonts w:ascii="Times New Roman" w:hAnsi="Times New Roman" w:cs="Times New Roman"/>
          <w:bCs/>
          <w:sz w:val="21"/>
        </w:rPr>
        <w:t>本</w:t>
      </w:r>
      <w:r>
        <w:rPr>
          <w:rFonts w:hint="eastAsia" w:ascii="Times New Roman" w:hAnsi="Times New Roman" w:cs="Times New Roman"/>
          <w:bCs/>
          <w:sz w:val="21"/>
        </w:rPr>
        <w:t>导则</w:t>
      </w:r>
      <w:r>
        <w:rPr>
          <w:rFonts w:ascii="Times New Roman" w:hAnsi="Times New Roman" w:cs="Times New Roman"/>
          <w:bCs/>
          <w:sz w:val="21"/>
        </w:rPr>
        <w:t>参考</w:t>
      </w:r>
      <w:r>
        <w:rPr>
          <w:rFonts w:hint="eastAsia" w:ascii="Times New Roman" w:hAnsi="Times New Roman" w:cs="Times New Roman"/>
          <w:bCs/>
          <w:sz w:val="21"/>
        </w:rPr>
        <w:t>与引用</w:t>
      </w:r>
      <w:r>
        <w:rPr>
          <w:rFonts w:ascii="Times New Roman" w:hAnsi="Times New Roman" w:cs="Times New Roman"/>
          <w:bCs/>
          <w:sz w:val="21"/>
        </w:rPr>
        <w:t>的标准</w:t>
      </w:r>
      <w:r>
        <w:rPr>
          <w:rFonts w:hint="eastAsia" w:ascii="Times New Roman" w:hAnsi="Times New Roman" w:cs="Times New Roman"/>
          <w:bCs/>
          <w:sz w:val="21"/>
        </w:rPr>
        <w:t>和规范文件包括</w:t>
      </w:r>
      <w:r>
        <w:rPr>
          <w:rFonts w:ascii="Times New Roman" w:hAnsi="Times New Roman" w:cs="Times New Roman"/>
          <w:bCs/>
          <w:sz w:val="21"/>
        </w:rPr>
        <w:t>：</w:t>
      </w:r>
    </w:p>
    <w:p w14:paraId="24871059">
      <w:pPr>
        <w:pStyle w:val="13"/>
        <w:spacing w:before="0" w:beforeAutospacing="0" w:after="0" w:afterAutospacing="0" w:line="360" w:lineRule="auto"/>
        <w:jc w:val="both"/>
        <w:rPr>
          <w:rFonts w:ascii="Times New Roman" w:hAnsi="Times New Roman" w:cs="Times New Roman"/>
          <w:bCs/>
          <w:sz w:val="21"/>
        </w:rPr>
      </w:pPr>
      <w:r>
        <w:rPr>
          <w:rFonts w:hint="eastAsia" w:ascii="Times New Roman" w:hAnsi="Times New Roman" w:cs="Times New Roman"/>
          <w:bCs/>
          <w:sz w:val="21"/>
        </w:rPr>
        <w:t>（1）《取水许可管理办法》（2017年12月修正）；</w:t>
      </w:r>
    </w:p>
    <w:p w14:paraId="6C8AF035">
      <w:pPr>
        <w:pStyle w:val="13"/>
        <w:spacing w:before="0" w:beforeAutospacing="0" w:after="0" w:afterAutospacing="0" w:line="360" w:lineRule="auto"/>
        <w:jc w:val="both"/>
        <w:rPr>
          <w:rFonts w:ascii="Times New Roman" w:hAnsi="Times New Roman" w:cs="Times New Roman"/>
          <w:bCs/>
          <w:sz w:val="21"/>
        </w:rPr>
      </w:pPr>
      <w:r>
        <w:rPr>
          <w:rFonts w:hint="eastAsia" w:ascii="Times New Roman" w:hAnsi="Times New Roman" w:cs="Times New Roman"/>
          <w:bCs/>
          <w:sz w:val="21"/>
        </w:rPr>
        <w:t>（2）《江苏省节约用水条例》（2016年5月施行）；</w:t>
      </w:r>
    </w:p>
    <w:p w14:paraId="292E2534">
      <w:pPr>
        <w:pStyle w:val="13"/>
        <w:spacing w:before="0" w:beforeAutospacing="0" w:after="0" w:afterAutospacing="0" w:line="360" w:lineRule="auto"/>
        <w:jc w:val="both"/>
        <w:rPr>
          <w:rFonts w:ascii="Times New Roman" w:hAnsi="Times New Roman" w:cs="Times New Roman"/>
          <w:bCs/>
          <w:sz w:val="21"/>
        </w:rPr>
      </w:pPr>
      <w:r>
        <w:rPr>
          <w:rFonts w:hint="eastAsia" w:ascii="Times New Roman" w:hAnsi="Times New Roman" w:cs="Times New Roman"/>
          <w:bCs/>
          <w:sz w:val="21"/>
        </w:rPr>
        <w:t>（3）《江苏省用水总量控制管理办法》（2016年10月施行）；</w:t>
      </w:r>
    </w:p>
    <w:p w14:paraId="6A5610C8">
      <w:pPr>
        <w:pStyle w:val="13"/>
        <w:spacing w:before="0" w:beforeAutospacing="0" w:after="0" w:afterAutospacing="0" w:line="360" w:lineRule="auto"/>
        <w:jc w:val="both"/>
        <w:rPr>
          <w:rFonts w:ascii="Times New Roman" w:hAnsi="Times New Roman" w:cs="Times New Roman"/>
          <w:bCs/>
          <w:sz w:val="21"/>
        </w:rPr>
      </w:pPr>
      <w:r>
        <w:rPr>
          <w:rFonts w:hint="eastAsia" w:ascii="Times New Roman" w:hAnsi="Times New Roman" w:cs="Times New Roman"/>
          <w:bCs/>
          <w:sz w:val="21"/>
        </w:rPr>
        <w:t>（4）《江苏省计划用水管理办法》（2016年11月施行）；</w:t>
      </w:r>
    </w:p>
    <w:p w14:paraId="02CEC125">
      <w:pPr>
        <w:pStyle w:val="13"/>
        <w:spacing w:before="0" w:beforeAutospacing="0" w:after="0" w:afterAutospacing="0" w:line="360" w:lineRule="auto"/>
        <w:jc w:val="both"/>
        <w:rPr>
          <w:rFonts w:ascii="Times New Roman" w:hAnsi="Times New Roman" w:cs="Times New Roman"/>
          <w:bCs/>
          <w:sz w:val="21"/>
        </w:rPr>
      </w:pPr>
      <w:r>
        <w:rPr>
          <w:rFonts w:hint="eastAsia" w:ascii="Times New Roman" w:hAnsi="Times New Roman" w:cs="Times New Roman"/>
          <w:bCs/>
          <w:sz w:val="21"/>
        </w:rPr>
        <w:t>（5）《农业用水定额》（DB3213/T1032-2021）；</w:t>
      </w:r>
    </w:p>
    <w:p w14:paraId="50D45EEA">
      <w:pPr>
        <w:pStyle w:val="13"/>
        <w:spacing w:before="0" w:beforeAutospacing="0" w:after="0" w:afterAutospacing="0" w:line="360" w:lineRule="auto"/>
        <w:jc w:val="both"/>
        <w:rPr>
          <w:rFonts w:ascii="Times New Roman" w:hAnsi="Times New Roman" w:cs="Times New Roman"/>
          <w:bCs/>
          <w:sz w:val="21"/>
        </w:rPr>
      </w:pPr>
      <w:r>
        <w:rPr>
          <w:rFonts w:hint="eastAsia" w:ascii="Times New Roman" w:hAnsi="Times New Roman" w:cs="Times New Roman"/>
          <w:bCs/>
          <w:sz w:val="21"/>
        </w:rPr>
        <w:t>（6）《江苏省重点用水单位节约用水管理办法（试行）》（2022年2月施行）；</w:t>
      </w:r>
    </w:p>
    <w:p w14:paraId="7E4A12DE">
      <w:pPr>
        <w:pStyle w:val="13"/>
        <w:spacing w:before="0" w:beforeAutospacing="0" w:after="0" w:afterAutospacing="0" w:line="360" w:lineRule="auto"/>
        <w:jc w:val="both"/>
        <w:rPr>
          <w:rFonts w:ascii="Times New Roman" w:hAnsi="Times New Roman" w:cs="Times New Roman"/>
          <w:bCs/>
          <w:sz w:val="21"/>
        </w:rPr>
      </w:pPr>
      <w:r>
        <w:rPr>
          <w:rFonts w:hint="eastAsia" w:ascii="Times New Roman" w:hAnsi="Times New Roman" w:cs="Times New Roman"/>
          <w:bCs/>
          <w:sz w:val="21"/>
        </w:rPr>
        <w:t>（7）《省水利厅省市场监督管理局关于发布实施〈江苏省林牧渔业、工业、服务业和生活用水定额（2019年修订）〉的通知》（苏水节〔2020〕5号）；</w:t>
      </w:r>
    </w:p>
    <w:p w14:paraId="7AC2DA03">
      <w:pPr>
        <w:pStyle w:val="13"/>
        <w:spacing w:before="0" w:beforeAutospacing="0" w:after="0" w:afterAutospacing="0" w:line="360" w:lineRule="auto"/>
        <w:jc w:val="both"/>
        <w:rPr>
          <w:rFonts w:ascii="Times New Roman" w:hAnsi="Times New Roman" w:cs="Times New Roman"/>
          <w:bCs/>
          <w:sz w:val="21"/>
        </w:rPr>
      </w:pPr>
      <w:r>
        <w:rPr>
          <w:rFonts w:hint="eastAsia" w:ascii="Times New Roman" w:hAnsi="Times New Roman" w:cs="Times New Roman"/>
          <w:bCs/>
          <w:sz w:val="21"/>
        </w:rPr>
        <w:t>（8）《省水利厅关于印发2021年部分行业补充用水定额（试行）的通知》（苏水节〔2021〕16号）；</w:t>
      </w:r>
    </w:p>
    <w:p w14:paraId="20329F9A">
      <w:pPr>
        <w:pStyle w:val="13"/>
        <w:spacing w:before="0" w:beforeAutospacing="0" w:after="0" w:afterAutospacing="0" w:line="360" w:lineRule="auto"/>
        <w:jc w:val="both"/>
        <w:rPr>
          <w:rFonts w:ascii="Times New Roman" w:hAnsi="Times New Roman" w:cs="Times New Roman"/>
          <w:bCs/>
          <w:sz w:val="21"/>
        </w:rPr>
      </w:pPr>
      <w:r>
        <w:rPr>
          <w:rFonts w:hint="eastAsia" w:ascii="Times New Roman" w:hAnsi="Times New Roman" w:cs="Times New Roman"/>
          <w:bCs/>
          <w:sz w:val="21"/>
        </w:rPr>
        <w:t>（9）《省水利厅关于开展江苏省节水型灌区创建工作的通知》（苏水农〔2021〕10号）；</w:t>
      </w:r>
    </w:p>
    <w:p w14:paraId="512189D2">
      <w:pPr>
        <w:pStyle w:val="13"/>
        <w:spacing w:before="0" w:beforeAutospacing="0" w:after="0" w:afterAutospacing="0" w:line="360" w:lineRule="auto"/>
        <w:jc w:val="both"/>
        <w:rPr>
          <w:rFonts w:ascii="Times New Roman" w:hAnsi="Times New Roman" w:cs="Times New Roman"/>
          <w:bCs/>
          <w:sz w:val="21"/>
        </w:rPr>
      </w:pPr>
      <w:r>
        <w:rPr>
          <w:rFonts w:hint="eastAsia" w:ascii="Times New Roman" w:hAnsi="Times New Roman" w:cs="Times New Roman"/>
          <w:bCs/>
          <w:sz w:val="21"/>
        </w:rPr>
        <w:t>（1</w:t>
      </w:r>
      <w:r>
        <w:rPr>
          <w:rFonts w:ascii="Times New Roman" w:hAnsi="Times New Roman" w:cs="Times New Roman"/>
          <w:bCs/>
          <w:sz w:val="21"/>
        </w:rPr>
        <w:t>0</w:t>
      </w:r>
      <w:r>
        <w:rPr>
          <w:rFonts w:hint="eastAsia" w:ascii="Times New Roman" w:hAnsi="Times New Roman" w:cs="Times New Roman"/>
          <w:bCs/>
          <w:sz w:val="21"/>
        </w:rPr>
        <w:t>）《省水利厅省发展改革委关于进一步规范省级节水型载体管理的通知》（苏水节〔2020〕8号）。</w:t>
      </w:r>
    </w:p>
    <w:bookmarkEnd w:id="16"/>
    <w:p w14:paraId="0EB123F2">
      <w:pPr>
        <w:pStyle w:val="22"/>
        <w:numPr>
          <w:ilvl w:val="0"/>
          <w:numId w:val="2"/>
        </w:numPr>
        <w:spacing w:before="156" w:beforeLines="50" w:after="156" w:afterLines="50" w:line="440" w:lineRule="exact"/>
        <w:ind w:left="357" w:hanging="357" w:firstLineChars="0"/>
        <w:outlineLvl w:val="1"/>
        <w:rPr>
          <w:rFonts w:eastAsia="黑体"/>
          <w:b/>
          <w:strike/>
          <w:sz w:val="28"/>
        </w:rPr>
      </w:pPr>
      <w:bookmarkStart w:id="17" w:name="_Toc174890610"/>
      <w:r>
        <w:rPr>
          <w:rFonts w:eastAsia="黑体"/>
          <w:b/>
          <w:sz w:val="28"/>
        </w:rPr>
        <w:t>标准主要起草人及其所做的工作</w:t>
      </w:r>
      <w:bookmarkEnd w:id="17"/>
    </w:p>
    <w:p w14:paraId="3CBCA88C">
      <w:pPr>
        <w:pStyle w:val="13"/>
        <w:spacing w:before="0" w:beforeAutospacing="0" w:after="0" w:afterAutospacing="0" w:line="360" w:lineRule="auto"/>
        <w:ind w:firstLine="420" w:firstLineChars="200"/>
        <w:jc w:val="both"/>
        <w:rPr>
          <w:rFonts w:ascii="黑体" w:hAnsi="黑体" w:eastAsia="黑体" w:cs="黑体"/>
          <w:szCs w:val="21"/>
        </w:rPr>
      </w:pPr>
      <w:r>
        <w:rPr>
          <w:rFonts w:ascii="Times New Roman" w:hAnsi="Times New Roman" w:cs="Times New Roman"/>
          <w:sz w:val="21"/>
        </w:rPr>
        <w:t>本</w:t>
      </w:r>
      <w:r>
        <w:rPr>
          <w:rFonts w:hint="eastAsia" w:ascii="Times New Roman" w:hAnsi="Times New Roman" w:cs="Times New Roman"/>
          <w:sz w:val="21"/>
        </w:rPr>
        <w:t>标准</w:t>
      </w:r>
      <w:r>
        <w:rPr>
          <w:rFonts w:ascii="Times New Roman" w:hAnsi="Times New Roman" w:cs="Times New Roman"/>
          <w:sz w:val="21"/>
        </w:rPr>
        <w:t>制定项目由</w:t>
      </w:r>
      <w:r>
        <w:rPr>
          <w:rFonts w:hint="eastAsia" w:ascii="Times New Roman" w:hAnsi="Times New Roman" w:cs="Times New Roman"/>
          <w:sz w:val="21"/>
        </w:rPr>
        <w:t>宿迁市节约用水管理服务中心</w:t>
      </w:r>
      <w:r>
        <w:rPr>
          <w:rFonts w:ascii="Times New Roman" w:hAnsi="Times New Roman" w:cs="Times New Roman"/>
          <w:sz w:val="21"/>
        </w:rPr>
        <w:t>提出</w:t>
      </w:r>
      <w:r>
        <w:rPr>
          <w:rFonts w:hint="eastAsia" w:ascii="Times New Roman" w:hAnsi="Times New Roman" w:cs="Times New Roman"/>
          <w:sz w:val="21"/>
        </w:rPr>
        <w:t>并组织</w:t>
      </w:r>
      <w:r>
        <w:rPr>
          <w:rFonts w:ascii="Times New Roman" w:hAnsi="Times New Roman" w:cs="Times New Roman"/>
          <w:sz w:val="21"/>
        </w:rPr>
        <w:t>申报，</w:t>
      </w:r>
      <w:r>
        <w:rPr>
          <w:rFonts w:hint="eastAsia" w:ascii="Times New Roman" w:hAnsi="Times New Roman" w:cs="Times New Roman"/>
          <w:sz w:val="21"/>
        </w:rPr>
        <w:t>宿迁市节约用水管理服务中心</w:t>
      </w:r>
      <w:r>
        <w:rPr>
          <w:rFonts w:ascii="Times New Roman" w:hAnsi="Times New Roman" w:cs="Times New Roman"/>
          <w:sz w:val="21"/>
        </w:rPr>
        <w:t>为第一起草单位。</w:t>
      </w:r>
    </w:p>
    <w:p w14:paraId="2C9ACE17">
      <w:pPr>
        <w:pStyle w:val="22"/>
        <w:spacing w:before="312" w:beforeLines="100" w:after="156" w:afterLines="50" w:line="440" w:lineRule="exact"/>
        <w:ind w:firstLine="0" w:firstLineChars="0"/>
        <w:outlineLvl w:val="0"/>
        <w:rPr>
          <w:rFonts w:eastAsia="黑体"/>
          <w:b/>
          <w:sz w:val="32"/>
        </w:rPr>
      </w:pPr>
      <w:bookmarkStart w:id="18" w:name="_Toc174890611"/>
      <w:r>
        <w:rPr>
          <w:rFonts w:eastAsia="黑体"/>
          <w:b/>
          <w:sz w:val="32"/>
        </w:rPr>
        <w:t>二、主要内容技术指标确立</w:t>
      </w:r>
      <w:bookmarkEnd w:id="18"/>
    </w:p>
    <w:p w14:paraId="49E109EB">
      <w:pPr>
        <w:pStyle w:val="22"/>
        <w:numPr>
          <w:ilvl w:val="0"/>
          <w:numId w:val="7"/>
        </w:numPr>
        <w:spacing w:before="156" w:beforeLines="50" w:after="156" w:afterLines="50" w:line="440" w:lineRule="exact"/>
        <w:ind w:firstLineChars="0"/>
        <w:jc w:val="left"/>
        <w:outlineLvl w:val="1"/>
        <w:rPr>
          <w:rFonts w:eastAsia="黑体"/>
          <w:b/>
          <w:bCs/>
          <w:sz w:val="28"/>
        </w:rPr>
      </w:pPr>
      <w:bookmarkStart w:id="19" w:name="_Toc34315219"/>
      <w:bookmarkStart w:id="20" w:name="_Toc26889821"/>
      <w:bookmarkStart w:id="21" w:name="_Toc174890612"/>
      <w:r>
        <w:rPr>
          <w:rFonts w:eastAsia="黑体"/>
          <w:b/>
          <w:bCs/>
          <w:sz w:val="28"/>
        </w:rPr>
        <w:t>标准适用范围</w:t>
      </w:r>
      <w:bookmarkEnd w:id="19"/>
      <w:bookmarkEnd w:id="20"/>
      <w:bookmarkEnd w:id="21"/>
    </w:p>
    <w:p w14:paraId="765A505F">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本文件规定了灌区节约用水技术的术语与定义、技术要求、节水管理、节水效益与评价等方面的要求。</w:t>
      </w:r>
    </w:p>
    <w:p w14:paraId="7A074B8E">
      <w:pPr>
        <w:pStyle w:val="13"/>
        <w:spacing w:before="0" w:beforeAutospacing="0" w:after="0" w:afterAutospacing="0" w:line="360" w:lineRule="auto"/>
        <w:ind w:firstLine="420" w:firstLineChars="200"/>
        <w:jc w:val="both"/>
        <w:rPr>
          <w:rFonts w:ascii="Times New Roman" w:hAnsi="Times New Roman" w:cs="Times New Roman"/>
          <w:sz w:val="21"/>
        </w:rPr>
      </w:pPr>
      <w:r>
        <w:rPr>
          <w:rFonts w:hint="eastAsia" w:ascii="Times New Roman" w:hAnsi="Times New Roman" w:cs="Times New Roman"/>
          <w:sz w:val="21"/>
        </w:rPr>
        <w:t>本文件适用于宿迁市辖区灌区节约用水管理与评价工作。</w:t>
      </w:r>
    </w:p>
    <w:p w14:paraId="04EA74E2">
      <w:pPr>
        <w:pStyle w:val="22"/>
        <w:numPr>
          <w:ilvl w:val="0"/>
          <w:numId w:val="7"/>
        </w:numPr>
        <w:spacing w:before="156" w:beforeLines="50" w:after="156" w:afterLines="50" w:line="440" w:lineRule="exact"/>
        <w:ind w:firstLineChars="0"/>
        <w:outlineLvl w:val="1"/>
        <w:rPr>
          <w:rFonts w:eastAsia="黑体"/>
          <w:b/>
          <w:bCs/>
          <w:sz w:val="28"/>
        </w:rPr>
      </w:pPr>
      <w:bookmarkStart w:id="22" w:name="_Toc174890613"/>
      <w:bookmarkStart w:id="23" w:name="_Toc26867885"/>
      <w:bookmarkStart w:id="24" w:name="_Toc26889824"/>
      <w:bookmarkStart w:id="25" w:name="_Toc34315222"/>
      <w:r>
        <w:rPr>
          <w:rFonts w:hint="eastAsia" w:eastAsia="黑体"/>
          <w:b/>
          <w:bCs/>
          <w:sz w:val="28"/>
        </w:rPr>
        <w:t>规范性引用文件</w:t>
      </w:r>
      <w:bookmarkEnd w:id="22"/>
    </w:p>
    <w:p w14:paraId="3192C3F7">
      <w:pPr>
        <w:pStyle w:val="13"/>
        <w:spacing w:before="0" w:beforeAutospacing="0" w:after="0" w:afterAutospacing="0" w:line="360" w:lineRule="auto"/>
        <w:ind w:firstLine="420" w:firstLineChars="200"/>
        <w:jc w:val="both"/>
        <w:rPr>
          <w:rFonts w:ascii="Times New Roman" w:hAnsi="Times New Roman" w:cs="Times New Roman"/>
          <w:sz w:val="21"/>
        </w:rPr>
      </w:pPr>
      <w:r>
        <w:rPr>
          <w:rFonts w:hint="eastAsia" w:ascii="Times New Roman" w:hAnsi="Times New Roman" w:cs="Times New Roman"/>
          <w:sz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3630630">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GB 5084     农田灌溉水质标准</w:t>
      </w:r>
    </w:p>
    <w:p w14:paraId="18F143EB">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GB/T 20203  管道输水灌溉工程技术规范</w:t>
      </w:r>
    </w:p>
    <w:p w14:paraId="7AC75819">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GB/T 21303  灌溉渠道系统量水规范</w:t>
      </w:r>
    </w:p>
    <w:p w14:paraId="4C8BAD18">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GB/T 50085  喷灌工程技术规范</w:t>
      </w:r>
    </w:p>
    <w:p w14:paraId="257C4EDB">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GB 50288    灌溉与排水工程设计标准</w:t>
      </w:r>
    </w:p>
    <w:p w14:paraId="2CE9F8EF">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GB/T 50363  节水灌溉工程技术标准</w:t>
      </w:r>
    </w:p>
    <w:p w14:paraId="26FFA658">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GB/T 50485  微灌工程技术标准</w:t>
      </w:r>
    </w:p>
    <w:p w14:paraId="389D3651">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GB/T 50599  灌区改造技术标准</w:t>
      </w:r>
    </w:p>
    <w:p w14:paraId="02398BAF">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GB/T 50600  渠道防渗衬砌工程技术标准</w:t>
      </w:r>
    </w:p>
    <w:p w14:paraId="74B06C46">
      <w:pPr>
        <w:pStyle w:val="13"/>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SL/T 246    灌溉与排水工程技术管理规程</w:t>
      </w:r>
    </w:p>
    <w:p w14:paraId="045FCDB9">
      <w:pPr>
        <w:pStyle w:val="13"/>
        <w:spacing w:before="0" w:beforeAutospacing="0" w:after="0" w:afterAutospacing="0" w:line="360" w:lineRule="auto"/>
        <w:ind w:firstLine="420" w:firstLineChars="200"/>
        <w:jc w:val="both"/>
        <w:rPr>
          <w:rFonts w:ascii="Times New Roman" w:hAnsi="Times New Roman" w:cs="Times New Roman"/>
          <w:sz w:val="21"/>
        </w:rPr>
      </w:pPr>
      <w:r>
        <w:rPr>
          <w:rFonts w:hint="eastAsia" w:ascii="Times New Roman" w:hAnsi="Times New Roman" w:cs="Times New Roman"/>
          <w:sz w:val="21"/>
        </w:rPr>
        <w:t>DB32/T 3817 灌溉用水定额</w:t>
      </w:r>
    </w:p>
    <w:p w14:paraId="6A63DBA4">
      <w:pPr>
        <w:pStyle w:val="22"/>
        <w:numPr>
          <w:ilvl w:val="0"/>
          <w:numId w:val="7"/>
        </w:numPr>
        <w:spacing w:before="156" w:beforeLines="50" w:after="156" w:afterLines="50" w:line="440" w:lineRule="exact"/>
        <w:ind w:firstLineChars="0"/>
        <w:outlineLvl w:val="1"/>
        <w:rPr>
          <w:rFonts w:eastAsia="黑体"/>
          <w:b/>
          <w:bCs/>
          <w:sz w:val="28"/>
        </w:rPr>
      </w:pPr>
      <w:bookmarkStart w:id="26" w:name="_Toc174890614"/>
      <w:r>
        <w:rPr>
          <w:rFonts w:eastAsia="黑体"/>
          <w:b/>
          <w:bCs/>
          <w:sz w:val="28"/>
        </w:rPr>
        <w:t>术语和定义</w:t>
      </w:r>
      <w:bookmarkEnd w:id="23"/>
      <w:bookmarkEnd w:id="24"/>
      <w:bookmarkEnd w:id="25"/>
      <w:bookmarkEnd w:id="26"/>
    </w:p>
    <w:p w14:paraId="13EE0D94">
      <w:pPr>
        <w:pStyle w:val="13"/>
        <w:adjustRightInd w:val="0"/>
        <w:snapToGrid w:val="0"/>
        <w:spacing w:before="0" w:beforeAutospacing="0" w:after="0" w:afterAutospacing="0" w:line="360" w:lineRule="auto"/>
        <w:ind w:firstLine="420" w:firstLineChars="200"/>
        <w:jc w:val="both"/>
        <w:rPr>
          <w:rFonts w:ascii="Times New Roman" w:hAnsi="Times New Roman" w:cs="Times New Roman"/>
          <w:sz w:val="21"/>
        </w:rPr>
      </w:pPr>
      <w:r>
        <w:rPr>
          <w:rFonts w:hint="eastAsia" w:ascii="Times New Roman" w:hAnsi="Times New Roman" w:cs="Times New Roman"/>
          <w:sz w:val="21"/>
        </w:rPr>
        <w:t>下列术语和定义适用于本文件。</w:t>
      </w:r>
    </w:p>
    <w:p w14:paraId="71BD6BA4">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3.1　</w:t>
      </w:r>
    </w:p>
    <w:p w14:paraId="0AD76DD7">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灌区 irrigation districts</w:t>
      </w:r>
    </w:p>
    <w:p w14:paraId="059D7CF1">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有可靠水源和引、输、配水渠道系统和相应排水沟道的灌溉区域。</w:t>
      </w:r>
    </w:p>
    <w:p w14:paraId="05CEE6FF">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3.2　</w:t>
      </w:r>
    </w:p>
    <w:p w14:paraId="6D807603">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节水灌溉 water-saving irrigation</w:t>
      </w:r>
    </w:p>
    <w:p w14:paraId="743C45D3">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在作物生育期，为提高灌溉水利用率和灌水效益采取工程、技术和管理等综合措施的灌溉方式。</w:t>
      </w:r>
    </w:p>
    <w:p w14:paraId="474FAFDB">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3.3　</w:t>
      </w:r>
    </w:p>
    <w:p w14:paraId="571A364E">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渠系水利用系数 canal-system water conveyance efficiency</w:t>
      </w:r>
    </w:p>
    <w:p w14:paraId="23A22EB2">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末级固定渠道输出流量(水量)之和与干渠渠首</w:t>
      </w:r>
      <w:r>
        <w:rPr>
          <w:rFonts w:hint="eastAsia" w:ascii="Times New Roman" w:hAnsi="Times New Roman" w:cs="Times New Roman"/>
          <w:sz w:val="21"/>
          <w:highlight w:val="none"/>
        </w:rPr>
        <w:t>引入</w:t>
      </w:r>
      <w:r>
        <w:rPr>
          <w:rFonts w:hint="eastAsia" w:ascii="Times New Roman" w:hAnsi="Times New Roman" w:cs="Times New Roman"/>
          <w:sz w:val="21"/>
        </w:rPr>
        <w:t>流量(水量)的比值，或各级固定渠道的渠道水利用系数的乘积。</w:t>
      </w:r>
    </w:p>
    <w:p w14:paraId="1FE62CC5">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3.4　</w:t>
      </w:r>
    </w:p>
    <w:p w14:paraId="5C504DB1">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田间水利用系数 field application efficiency</w:t>
      </w:r>
    </w:p>
    <w:p w14:paraId="0FC16E1F">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灌入田间可被作物利用的有效水量与末级固定渠道(农渠)输出水量的比值。</w:t>
      </w:r>
    </w:p>
    <w:p w14:paraId="0AAA678B">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3.5　</w:t>
      </w:r>
    </w:p>
    <w:p w14:paraId="4652EF86">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灌溉水利用系数 coefficient of water use in irrigation</w:t>
      </w:r>
    </w:p>
    <w:p w14:paraId="76BBD213">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灌入田间可被作物利用的水量与干渠渠首引入的总水量的比值，或渠系水利用系数和田间水利用系数的乘积</w:t>
      </w:r>
    </w:p>
    <w:p w14:paraId="1E772069">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3.6　</w:t>
      </w:r>
    </w:p>
    <w:p w14:paraId="5B231936">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管道系统水利用系数 water use efficiency of pipeline system</w:t>
      </w:r>
    </w:p>
    <w:p w14:paraId="6C8B07E1">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设计工况下，管道系统出口总水量与其进口总水量的比值，也为各级管道水利用系数的乘积。</w:t>
      </w:r>
    </w:p>
    <w:p w14:paraId="2CBA25B8">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3.7　</w:t>
      </w:r>
    </w:p>
    <w:p w14:paraId="7C45DBBB">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管道输水灌溉工程 irrigation projects with</w:t>
      </w:r>
      <w:r>
        <w:rPr>
          <w:rFonts w:hint="eastAsia" w:ascii="Times New Roman" w:hAnsi="Times New Roman" w:cs="Times New Roman"/>
          <w:sz w:val="21"/>
          <w:highlight w:val="none"/>
        </w:rPr>
        <w:t xml:space="preserve"> pipeline</w:t>
      </w:r>
      <w:r>
        <w:rPr>
          <w:rFonts w:hint="eastAsia" w:ascii="Times New Roman" w:hAnsi="Times New Roman" w:cs="Times New Roman"/>
          <w:sz w:val="21"/>
        </w:rPr>
        <w:t xml:space="preserve"> conveyance</w:t>
      </w:r>
    </w:p>
    <w:p w14:paraId="1F0B979C">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由水泵加压或自然落差形成的有压水流，通过管道输送到田间给水装置，采用地面灌溉的工程。</w:t>
      </w:r>
    </w:p>
    <w:p w14:paraId="1AC40D1F">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3.8　</w:t>
      </w:r>
    </w:p>
    <w:p w14:paraId="6E3822BE">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灌溉保证率 reliability of irrigation</w:t>
      </w:r>
    </w:p>
    <w:p w14:paraId="71CB5D74">
      <w:pPr>
        <w:pStyle w:val="13"/>
        <w:adjustRightInd w:val="0"/>
        <w:snapToGrid w:val="0"/>
        <w:spacing w:before="0" w:beforeAutospacing="0" w:after="0" w:afterAutospacing="0" w:line="360" w:lineRule="auto"/>
        <w:ind w:firstLine="420" w:firstLineChars="200"/>
        <w:jc w:val="both"/>
        <w:rPr>
          <w:rFonts w:ascii="Times New Roman" w:hAnsi="Times New Roman" w:cs="Times New Roman"/>
          <w:sz w:val="21"/>
        </w:rPr>
      </w:pPr>
      <w:r>
        <w:rPr>
          <w:rFonts w:hint="eastAsia" w:ascii="Times New Roman" w:hAnsi="Times New Roman" w:cs="Times New Roman"/>
          <w:sz w:val="21"/>
        </w:rPr>
        <w:t>灌溉用水量在多年期间，能够得到保证的概率。</w:t>
      </w:r>
    </w:p>
    <w:p w14:paraId="3D47EC2E">
      <w:pPr>
        <w:pStyle w:val="22"/>
        <w:numPr>
          <w:ilvl w:val="0"/>
          <w:numId w:val="7"/>
        </w:numPr>
        <w:spacing w:before="156" w:beforeLines="50" w:after="156" w:afterLines="50" w:line="440" w:lineRule="exact"/>
        <w:ind w:firstLineChars="0"/>
        <w:outlineLvl w:val="1"/>
        <w:rPr>
          <w:rFonts w:eastAsia="黑体"/>
          <w:b/>
          <w:bCs/>
          <w:sz w:val="28"/>
        </w:rPr>
      </w:pPr>
      <w:bookmarkStart w:id="27" w:name="_Toc174890615"/>
      <w:r>
        <w:rPr>
          <w:rFonts w:hint="eastAsia" w:eastAsia="黑体"/>
          <w:b/>
          <w:bCs/>
          <w:sz w:val="28"/>
        </w:rPr>
        <w:t>技术参数</w:t>
      </w:r>
      <w:bookmarkEnd w:id="27"/>
    </w:p>
    <w:p w14:paraId="5A75855A">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4.1　技术指标要求</w:t>
      </w:r>
    </w:p>
    <w:p w14:paraId="6989B791">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4.1.1　灌溉水利用系数</w:t>
      </w:r>
    </w:p>
    <w:p w14:paraId="635428C4">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4.1.1.1　渠系水利用系数：大型灌区不应低于0.60，中型灌区不应低于0.65，小型灌区不应低于0.75。</w:t>
      </w:r>
    </w:p>
    <w:p w14:paraId="2EACC10B">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4.1.1.2　管道系统水利用系数：灌区采用管道输水的区域不应低于0.95。</w:t>
      </w:r>
    </w:p>
    <w:p w14:paraId="347694AB">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4.1.1.3　田间水利用系数：水稻灌区不宜低于0.95，旱作物灌区不宜低于0.90。</w:t>
      </w:r>
    </w:p>
    <w:p w14:paraId="44323D83">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4.1.1.4　灌溉水利用系数：渠道防渗输水灌溉工程，大型灌区不应低于0.55，中型灌区不应低于0.60，小型灌区不应低于0.70；管道输水灌区、喷灌区不应低于0.80；微喷灌区不应低于0.85；滴灌区不应低于0.90。</w:t>
      </w:r>
    </w:p>
    <w:p w14:paraId="566E98D0">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4.1.2　灌溉保证率</w:t>
      </w:r>
    </w:p>
    <w:p w14:paraId="6BE955AD">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4.1.2.1　湿润地区地面灌溉的旱作物灌溉保证率宜为75%~85%，水稻宜为80%~95%；喷微灌各类作物宜为85%~95%。</w:t>
      </w:r>
    </w:p>
    <w:p w14:paraId="7188C02F">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4.1.2.2　确定灌溉设计保证率时，可通过现有灌区实际调查，根据经验进行分析选定；大型灌区设计时宜通过技术经济论证和系统分析予以确定。</w:t>
      </w:r>
    </w:p>
    <w:p w14:paraId="2641D279">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4.1.3　节水灌溉面积</w:t>
      </w:r>
    </w:p>
    <w:p w14:paraId="46342820">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灌区内节水灌溉面积宜达到设计灌溉面积的80%以上。</w:t>
      </w:r>
    </w:p>
    <w:p w14:paraId="59F427FE">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4.1.4　骨干工程指标</w:t>
      </w:r>
    </w:p>
    <w:p w14:paraId="06AF2959">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骨干工程配套率应达到95%以上；骨干工程完好率应达到90%以上；骨干渠道衬砌率应达到80%以上。</w:t>
      </w:r>
    </w:p>
    <w:p w14:paraId="08D1E84B">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4.1.5　灌溉用水定额指标</w:t>
      </w:r>
    </w:p>
    <w:p w14:paraId="77C9381F">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4.1.5.1　灌溉用水定额应符合DB32/T 3817的要求。</w:t>
      </w:r>
    </w:p>
    <w:p w14:paraId="7D7AE3E9">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4.1.5.2　江苏省定额未涉及个别类型时，可参考国家或行业灌溉用水定额。</w:t>
      </w:r>
    </w:p>
    <w:p w14:paraId="6E865C26">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　保障工程设施及技术要求</w:t>
      </w:r>
    </w:p>
    <w:p w14:paraId="338A1D69">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4.2.1　渠道工程</w:t>
      </w:r>
    </w:p>
    <w:p w14:paraId="54970582">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4.2.1.1　渠系水利用系数不满足本文件第4.1.1条的规定，以及水资源紧缺地区或有特殊要求的渠道，均应采取衬砌防渗措施。</w:t>
      </w:r>
    </w:p>
    <w:p w14:paraId="40BB2731">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4.2.1.2　输水损失大、输水效率低的骨干渠道应防渗衬砌；提水灌区渠道及井灌区渠道应防渗衬砌；高填方、不良地质条件、回灌补源等涉及安全的骨干渠道应防渗衬砌。</w:t>
      </w:r>
    </w:p>
    <w:p w14:paraId="66DB49E8">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4.2.1.3　防渗衬砌宜采用新技术、新材料、新工艺；地下水位超过设计渠底、输水效率能满足设计要求的挖方渠道不宜防渗；流速小、渠床稳定、过流能力能够满足设计要求的挖方渠道不宜衬砌；渠基为膨胀土、分散性黏土、盐渍土、湿陷性黄土、强冻胀土等特殊土的3级及以上渠道的防渗衬砌应专门论证确定，3级以下渠道防渗衬砌可类比确定。</w:t>
      </w:r>
    </w:p>
    <w:p w14:paraId="7AF3A120">
      <w:pPr>
        <w:pStyle w:val="13"/>
        <w:adjustRightInd w:val="0"/>
        <w:snapToGrid w:val="0"/>
        <w:spacing w:before="0" w:beforeAutospacing="0" w:after="0" w:afterAutospacing="0" w:line="360" w:lineRule="auto"/>
        <w:jc w:val="both"/>
        <w:rPr>
          <w:rFonts w:ascii="Times New Roman" w:hAnsi="Times New Roman" w:cs="Times New Roman"/>
          <w:sz w:val="21"/>
        </w:rPr>
      </w:pPr>
      <w:r>
        <w:rPr>
          <w:rFonts w:hint="eastAsia" w:ascii="Times New Roman" w:hAnsi="Times New Roman" w:cs="Times New Roman"/>
          <w:sz w:val="21"/>
        </w:rPr>
        <w:t>4.2.1.4　渠道防渗衬砌混凝土的性能应符合表1的要求。</w:t>
      </w:r>
    </w:p>
    <w:p w14:paraId="6F794CB9">
      <w:pPr>
        <w:pStyle w:val="13"/>
        <w:adjustRightInd w:val="0"/>
        <w:snapToGrid w:val="0"/>
        <w:spacing w:before="0" w:beforeAutospacing="0" w:after="0" w:afterAutospacing="0" w:line="360" w:lineRule="auto"/>
        <w:jc w:val="center"/>
        <w:rPr>
          <w:rFonts w:ascii="Times New Roman" w:hAnsi="Times New Roman" w:cs="Times New Roman"/>
          <w:b/>
          <w:bCs/>
          <w:sz w:val="21"/>
        </w:rPr>
      </w:pPr>
      <w:r>
        <w:rPr>
          <w:rFonts w:hint="eastAsia" w:ascii="Times New Roman" w:hAnsi="Times New Roman" w:cs="Times New Roman"/>
          <w:b/>
          <w:bCs/>
          <w:sz w:val="21"/>
        </w:rPr>
        <w:t>表</w:t>
      </w:r>
      <w:r>
        <w:rPr>
          <w:rFonts w:ascii="Times New Roman" w:hAnsi="Times New Roman" w:cs="Times New Roman"/>
          <w:b/>
          <w:bCs/>
          <w:sz w:val="21"/>
        </w:rPr>
        <w:t>1</w:t>
      </w:r>
      <w:r>
        <w:rPr>
          <w:rFonts w:hint="eastAsia" w:ascii="Times New Roman" w:hAnsi="Times New Roman" w:cs="Times New Roman"/>
          <w:b/>
          <w:bCs/>
          <w:sz w:val="21"/>
        </w:rPr>
        <w:t xml:space="preserve"> 渠道衬砌混凝土最低强度和耐久性等级</w:t>
      </w:r>
    </w:p>
    <w:tbl>
      <w:tblPr>
        <w:tblStyle w:val="15"/>
        <w:tblW w:w="5000" w:type="pct"/>
        <w:tblInd w:w="0" w:type="dxa"/>
        <w:tblLayout w:type="autofit"/>
        <w:tblCellMar>
          <w:top w:w="0" w:type="dxa"/>
          <w:left w:w="108" w:type="dxa"/>
          <w:bottom w:w="0" w:type="dxa"/>
          <w:right w:w="108" w:type="dxa"/>
        </w:tblCellMar>
      </w:tblPr>
      <w:tblGrid>
        <w:gridCol w:w="2577"/>
        <w:gridCol w:w="1812"/>
        <w:gridCol w:w="1377"/>
        <w:gridCol w:w="1377"/>
        <w:gridCol w:w="1379"/>
      </w:tblGrid>
      <w:tr w14:paraId="1D64890F">
        <w:tblPrEx>
          <w:tblCellMar>
            <w:top w:w="0" w:type="dxa"/>
            <w:left w:w="108" w:type="dxa"/>
            <w:bottom w:w="0" w:type="dxa"/>
            <w:right w:w="108" w:type="dxa"/>
          </w:tblCellMar>
        </w:tblPrEx>
        <w:trPr>
          <w:trHeight w:val="270" w:hRule="atLeast"/>
        </w:trPr>
        <w:tc>
          <w:tcPr>
            <w:tcW w:w="1512"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B81380A">
            <w:pPr>
              <w:widowControl/>
              <w:spacing w:line="240" w:lineRule="exact"/>
              <w:jc w:val="center"/>
              <w:rPr>
                <w:kern w:val="0"/>
                <w:sz w:val="18"/>
                <w:szCs w:val="18"/>
              </w:rPr>
            </w:pPr>
            <w:r>
              <w:rPr>
                <w:rFonts w:hint="eastAsia"/>
                <w:kern w:val="0"/>
                <w:sz w:val="18"/>
                <w:szCs w:val="18"/>
              </w:rPr>
              <w:t>化学侵蚀等级</w:t>
            </w:r>
          </w:p>
        </w:tc>
        <w:tc>
          <w:tcPr>
            <w:tcW w:w="106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4FA196">
            <w:pPr>
              <w:widowControl/>
              <w:spacing w:line="240" w:lineRule="exact"/>
              <w:jc w:val="center"/>
              <w:rPr>
                <w:kern w:val="0"/>
                <w:sz w:val="18"/>
                <w:szCs w:val="18"/>
              </w:rPr>
            </w:pPr>
            <w:r>
              <w:rPr>
                <w:rFonts w:hint="eastAsia"/>
                <w:kern w:val="0"/>
                <w:sz w:val="18"/>
                <w:szCs w:val="18"/>
              </w:rPr>
              <w:t>混凝土性能</w:t>
            </w:r>
          </w:p>
        </w:tc>
        <w:tc>
          <w:tcPr>
            <w:tcW w:w="2425" w:type="pct"/>
            <w:gridSpan w:val="3"/>
            <w:tcBorders>
              <w:top w:val="single" w:color="auto" w:sz="4" w:space="0"/>
              <w:left w:val="nil"/>
              <w:bottom w:val="single" w:color="auto" w:sz="4" w:space="0"/>
              <w:right w:val="single" w:color="auto" w:sz="4" w:space="0"/>
            </w:tcBorders>
            <w:shd w:val="clear" w:color="auto" w:fill="auto"/>
            <w:noWrap/>
            <w:vAlign w:val="center"/>
          </w:tcPr>
          <w:p w14:paraId="54F6DC0C">
            <w:pPr>
              <w:widowControl/>
              <w:spacing w:line="240" w:lineRule="exact"/>
              <w:jc w:val="center"/>
              <w:rPr>
                <w:kern w:val="0"/>
                <w:sz w:val="18"/>
                <w:szCs w:val="18"/>
              </w:rPr>
            </w:pPr>
            <w:r>
              <w:rPr>
                <w:rFonts w:hint="eastAsia"/>
                <w:kern w:val="0"/>
                <w:sz w:val="18"/>
                <w:szCs w:val="18"/>
              </w:rPr>
              <w:t>设计使用年限</w:t>
            </w:r>
          </w:p>
        </w:tc>
      </w:tr>
      <w:tr w14:paraId="320A2C62">
        <w:tblPrEx>
          <w:tblCellMar>
            <w:top w:w="0" w:type="dxa"/>
            <w:left w:w="108" w:type="dxa"/>
            <w:bottom w:w="0" w:type="dxa"/>
            <w:right w:w="108" w:type="dxa"/>
          </w:tblCellMar>
        </w:tblPrEx>
        <w:trPr>
          <w:trHeight w:val="270" w:hRule="atLeast"/>
        </w:trPr>
        <w:tc>
          <w:tcPr>
            <w:tcW w:w="1512" w:type="pct"/>
            <w:vMerge w:val="continue"/>
            <w:tcBorders>
              <w:top w:val="single" w:color="auto" w:sz="4" w:space="0"/>
              <w:left w:val="single" w:color="auto" w:sz="4" w:space="0"/>
              <w:bottom w:val="single" w:color="auto" w:sz="4" w:space="0"/>
              <w:right w:val="single" w:color="auto" w:sz="4" w:space="0"/>
            </w:tcBorders>
            <w:vAlign w:val="center"/>
          </w:tcPr>
          <w:p w14:paraId="34EACFFA">
            <w:pPr>
              <w:widowControl/>
              <w:spacing w:line="240" w:lineRule="exact"/>
              <w:jc w:val="left"/>
              <w:rPr>
                <w:kern w:val="0"/>
                <w:sz w:val="18"/>
                <w:szCs w:val="18"/>
              </w:rPr>
            </w:pPr>
          </w:p>
        </w:tc>
        <w:tc>
          <w:tcPr>
            <w:tcW w:w="1063" w:type="pct"/>
            <w:vMerge w:val="continue"/>
            <w:tcBorders>
              <w:top w:val="single" w:color="auto" w:sz="4" w:space="0"/>
              <w:left w:val="single" w:color="auto" w:sz="4" w:space="0"/>
              <w:bottom w:val="single" w:color="auto" w:sz="4" w:space="0"/>
              <w:right w:val="single" w:color="auto" w:sz="4" w:space="0"/>
            </w:tcBorders>
            <w:vAlign w:val="center"/>
          </w:tcPr>
          <w:p w14:paraId="2F398742">
            <w:pPr>
              <w:widowControl/>
              <w:spacing w:line="240" w:lineRule="exact"/>
              <w:jc w:val="left"/>
              <w:rPr>
                <w:kern w:val="0"/>
                <w:sz w:val="18"/>
                <w:szCs w:val="18"/>
              </w:rPr>
            </w:pPr>
          </w:p>
        </w:tc>
        <w:tc>
          <w:tcPr>
            <w:tcW w:w="808" w:type="pct"/>
            <w:tcBorders>
              <w:top w:val="nil"/>
              <w:left w:val="nil"/>
              <w:bottom w:val="single" w:color="auto" w:sz="4" w:space="0"/>
              <w:right w:val="single" w:color="auto" w:sz="4" w:space="0"/>
            </w:tcBorders>
            <w:shd w:val="clear" w:color="auto" w:fill="auto"/>
            <w:noWrap/>
            <w:vAlign w:val="center"/>
          </w:tcPr>
          <w:p w14:paraId="4D06B5DC">
            <w:pPr>
              <w:widowControl/>
              <w:spacing w:line="240" w:lineRule="exact"/>
              <w:jc w:val="center"/>
              <w:rPr>
                <w:kern w:val="0"/>
                <w:sz w:val="18"/>
                <w:szCs w:val="18"/>
              </w:rPr>
            </w:pPr>
            <w:r>
              <w:rPr>
                <w:kern w:val="0"/>
                <w:sz w:val="18"/>
                <w:szCs w:val="18"/>
              </w:rPr>
              <w:t>50</w:t>
            </w:r>
            <w:r>
              <w:rPr>
                <w:rFonts w:hint="eastAsia"/>
                <w:kern w:val="0"/>
                <w:sz w:val="18"/>
                <w:szCs w:val="18"/>
              </w:rPr>
              <w:t>年</w:t>
            </w:r>
          </w:p>
        </w:tc>
        <w:tc>
          <w:tcPr>
            <w:tcW w:w="808" w:type="pct"/>
            <w:tcBorders>
              <w:top w:val="nil"/>
              <w:left w:val="nil"/>
              <w:bottom w:val="single" w:color="auto" w:sz="4" w:space="0"/>
              <w:right w:val="single" w:color="auto" w:sz="4" w:space="0"/>
            </w:tcBorders>
            <w:shd w:val="clear" w:color="auto" w:fill="auto"/>
            <w:noWrap/>
            <w:vAlign w:val="center"/>
          </w:tcPr>
          <w:p w14:paraId="157B8C52">
            <w:pPr>
              <w:widowControl/>
              <w:spacing w:line="240" w:lineRule="exact"/>
              <w:jc w:val="center"/>
              <w:rPr>
                <w:kern w:val="0"/>
                <w:sz w:val="18"/>
                <w:szCs w:val="18"/>
              </w:rPr>
            </w:pPr>
            <w:r>
              <w:rPr>
                <w:kern w:val="0"/>
                <w:sz w:val="18"/>
                <w:szCs w:val="18"/>
              </w:rPr>
              <w:t>30</w:t>
            </w:r>
            <w:r>
              <w:rPr>
                <w:rFonts w:hint="eastAsia"/>
                <w:kern w:val="0"/>
                <w:sz w:val="18"/>
                <w:szCs w:val="18"/>
              </w:rPr>
              <w:t>年</w:t>
            </w:r>
          </w:p>
        </w:tc>
        <w:tc>
          <w:tcPr>
            <w:tcW w:w="809" w:type="pct"/>
            <w:tcBorders>
              <w:top w:val="nil"/>
              <w:left w:val="nil"/>
              <w:bottom w:val="single" w:color="auto" w:sz="4" w:space="0"/>
              <w:right w:val="single" w:color="auto" w:sz="4" w:space="0"/>
            </w:tcBorders>
            <w:shd w:val="clear" w:color="auto" w:fill="auto"/>
            <w:noWrap/>
            <w:vAlign w:val="center"/>
          </w:tcPr>
          <w:p w14:paraId="3FC2DFA2">
            <w:pPr>
              <w:widowControl/>
              <w:spacing w:line="240" w:lineRule="exact"/>
              <w:jc w:val="center"/>
              <w:rPr>
                <w:kern w:val="0"/>
                <w:sz w:val="18"/>
                <w:szCs w:val="18"/>
              </w:rPr>
            </w:pPr>
            <w:r>
              <w:rPr>
                <w:kern w:val="0"/>
                <w:sz w:val="18"/>
                <w:szCs w:val="18"/>
              </w:rPr>
              <w:t>20</w:t>
            </w:r>
            <w:r>
              <w:rPr>
                <w:rFonts w:hint="eastAsia"/>
                <w:kern w:val="0"/>
                <w:sz w:val="18"/>
                <w:szCs w:val="18"/>
              </w:rPr>
              <w:t>年</w:t>
            </w:r>
          </w:p>
        </w:tc>
      </w:tr>
      <w:tr w14:paraId="282F4665">
        <w:tblPrEx>
          <w:tblCellMar>
            <w:top w:w="0" w:type="dxa"/>
            <w:left w:w="108" w:type="dxa"/>
            <w:bottom w:w="0" w:type="dxa"/>
            <w:right w:w="108" w:type="dxa"/>
          </w:tblCellMar>
        </w:tblPrEx>
        <w:trPr>
          <w:trHeight w:val="270" w:hRule="atLeast"/>
        </w:trPr>
        <w:tc>
          <w:tcPr>
            <w:tcW w:w="1512" w:type="pct"/>
            <w:vMerge w:val="restart"/>
            <w:tcBorders>
              <w:top w:val="nil"/>
              <w:left w:val="single" w:color="auto" w:sz="4" w:space="0"/>
              <w:bottom w:val="single" w:color="auto" w:sz="4" w:space="0"/>
              <w:right w:val="single" w:color="auto" w:sz="4" w:space="0"/>
            </w:tcBorders>
            <w:shd w:val="clear" w:color="auto" w:fill="auto"/>
            <w:noWrap/>
            <w:vAlign w:val="center"/>
          </w:tcPr>
          <w:p w14:paraId="4B557FF8">
            <w:pPr>
              <w:widowControl/>
              <w:spacing w:line="240" w:lineRule="exact"/>
              <w:jc w:val="center"/>
              <w:rPr>
                <w:kern w:val="0"/>
                <w:sz w:val="18"/>
                <w:szCs w:val="18"/>
              </w:rPr>
            </w:pPr>
            <w:r>
              <w:rPr>
                <w:rFonts w:hint="eastAsia"/>
                <w:kern w:val="0"/>
                <w:sz w:val="18"/>
                <w:szCs w:val="18"/>
              </w:rPr>
              <w:t>无侵蚀</w:t>
            </w:r>
          </w:p>
        </w:tc>
        <w:tc>
          <w:tcPr>
            <w:tcW w:w="1063" w:type="pct"/>
            <w:tcBorders>
              <w:top w:val="nil"/>
              <w:left w:val="nil"/>
              <w:bottom w:val="single" w:color="auto" w:sz="4" w:space="0"/>
              <w:right w:val="single" w:color="auto" w:sz="4" w:space="0"/>
            </w:tcBorders>
            <w:shd w:val="clear" w:color="auto" w:fill="auto"/>
            <w:noWrap/>
            <w:vAlign w:val="center"/>
          </w:tcPr>
          <w:p w14:paraId="2A1B3B2A">
            <w:pPr>
              <w:widowControl/>
              <w:spacing w:line="240" w:lineRule="exact"/>
              <w:jc w:val="center"/>
              <w:rPr>
                <w:kern w:val="0"/>
                <w:sz w:val="18"/>
                <w:szCs w:val="18"/>
              </w:rPr>
            </w:pPr>
            <w:r>
              <w:rPr>
                <w:rFonts w:hint="eastAsia"/>
                <w:kern w:val="0"/>
                <w:sz w:val="18"/>
                <w:szCs w:val="18"/>
              </w:rPr>
              <w:t>强度等级</w:t>
            </w:r>
          </w:p>
        </w:tc>
        <w:tc>
          <w:tcPr>
            <w:tcW w:w="808" w:type="pct"/>
            <w:tcBorders>
              <w:top w:val="nil"/>
              <w:left w:val="nil"/>
              <w:bottom w:val="single" w:color="auto" w:sz="4" w:space="0"/>
              <w:right w:val="single" w:color="auto" w:sz="4" w:space="0"/>
            </w:tcBorders>
            <w:shd w:val="clear" w:color="auto" w:fill="auto"/>
            <w:noWrap/>
            <w:vAlign w:val="center"/>
          </w:tcPr>
          <w:p w14:paraId="71B98D93">
            <w:pPr>
              <w:widowControl/>
              <w:spacing w:line="240" w:lineRule="exact"/>
              <w:jc w:val="center"/>
              <w:rPr>
                <w:kern w:val="0"/>
                <w:sz w:val="18"/>
                <w:szCs w:val="18"/>
              </w:rPr>
            </w:pPr>
            <w:r>
              <w:rPr>
                <w:kern w:val="0"/>
                <w:sz w:val="18"/>
                <w:szCs w:val="18"/>
              </w:rPr>
              <w:t>C25</w:t>
            </w:r>
          </w:p>
        </w:tc>
        <w:tc>
          <w:tcPr>
            <w:tcW w:w="808" w:type="pct"/>
            <w:tcBorders>
              <w:top w:val="nil"/>
              <w:left w:val="nil"/>
              <w:bottom w:val="single" w:color="auto" w:sz="4" w:space="0"/>
              <w:right w:val="single" w:color="auto" w:sz="4" w:space="0"/>
            </w:tcBorders>
            <w:shd w:val="clear" w:color="auto" w:fill="auto"/>
            <w:noWrap/>
            <w:vAlign w:val="center"/>
          </w:tcPr>
          <w:p w14:paraId="76794001">
            <w:pPr>
              <w:widowControl/>
              <w:spacing w:line="240" w:lineRule="exact"/>
              <w:jc w:val="center"/>
              <w:rPr>
                <w:kern w:val="0"/>
                <w:sz w:val="18"/>
                <w:szCs w:val="18"/>
              </w:rPr>
            </w:pPr>
            <w:r>
              <w:rPr>
                <w:kern w:val="0"/>
                <w:sz w:val="18"/>
                <w:szCs w:val="18"/>
              </w:rPr>
              <w:t>C25</w:t>
            </w:r>
          </w:p>
        </w:tc>
        <w:tc>
          <w:tcPr>
            <w:tcW w:w="809" w:type="pct"/>
            <w:tcBorders>
              <w:top w:val="nil"/>
              <w:left w:val="nil"/>
              <w:bottom w:val="single" w:color="auto" w:sz="4" w:space="0"/>
              <w:right w:val="single" w:color="auto" w:sz="4" w:space="0"/>
            </w:tcBorders>
            <w:shd w:val="clear" w:color="auto" w:fill="auto"/>
            <w:noWrap/>
            <w:vAlign w:val="center"/>
          </w:tcPr>
          <w:p w14:paraId="24994D18">
            <w:pPr>
              <w:widowControl/>
              <w:spacing w:line="240" w:lineRule="exact"/>
              <w:jc w:val="center"/>
              <w:rPr>
                <w:kern w:val="0"/>
                <w:sz w:val="18"/>
                <w:szCs w:val="18"/>
              </w:rPr>
            </w:pPr>
            <w:r>
              <w:rPr>
                <w:kern w:val="0"/>
                <w:sz w:val="18"/>
                <w:szCs w:val="18"/>
              </w:rPr>
              <w:t>C25</w:t>
            </w:r>
          </w:p>
        </w:tc>
      </w:tr>
      <w:tr w14:paraId="7CEF6C99">
        <w:tblPrEx>
          <w:tblCellMar>
            <w:top w:w="0" w:type="dxa"/>
            <w:left w:w="108" w:type="dxa"/>
            <w:bottom w:w="0" w:type="dxa"/>
            <w:right w:w="108" w:type="dxa"/>
          </w:tblCellMar>
        </w:tblPrEx>
        <w:trPr>
          <w:trHeight w:val="270" w:hRule="atLeast"/>
        </w:trPr>
        <w:tc>
          <w:tcPr>
            <w:tcW w:w="1512" w:type="pct"/>
            <w:vMerge w:val="continue"/>
            <w:tcBorders>
              <w:top w:val="nil"/>
              <w:left w:val="single" w:color="auto" w:sz="4" w:space="0"/>
              <w:bottom w:val="single" w:color="auto" w:sz="4" w:space="0"/>
              <w:right w:val="single" w:color="auto" w:sz="4" w:space="0"/>
            </w:tcBorders>
            <w:vAlign w:val="center"/>
          </w:tcPr>
          <w:p w14:paraId="38AC5EC4">
            <w:pPr>
              <w:widowControl/>
              <w:spacing w:line="240" w:lineRule="exact"/>
              <w:jc w:val="left"/>
              <w:rPr>
                <w:kern w:val="0"/>
                <w:sz w:val="18"/>
                <w:szCs w:val="18"/>
              </w:rPr>
            </w:pPr>
          </w:p>
        </w:tc>
        <w:tc>
          <w:tcPr>
            <w:tcW w:w="1063" w:type="pct"/>
            <w:tcBorders>
              <w:top w:val="nil"/>
              <w:left w:val="nil"/>
              <w:bottom w:val="single" w:color="auto" w:sz="4" w:space="0"/>
              <w:right w:val="single" w:color="auto" w:sz="4" w:space="0"/>
            </w:tcBorders>
            <w:shd w:val="clear" w:color="auto" w:fill="auto"/>
            <w:noWrap/>
            <w:vAlign w:val="center"/>
          </w:tcPr>
          <w:p w14:paraId="47BC6962">
            <w:pPr>
              <w:widowControl/>
              <w:spacing w:line="240" w:lineRule="exact"/>
              <w:jc w:val="center"/>
              <w:rPr>
                <w:kern w:val="0"/>
                <w:sz w:val="18"/>
                <w:szCs w:val="18"/>
              </w:rPr>
            </w:pPr>
            <w:r>
              <w:rPr>
                <w:rFonts w:hint="eastAsia"/>
                <w:kern w:val="0"/>
                <w:sz w:val="18"/>
                <w:szCs w:val="18"/>
              </w:rPr>
              <w:t>抗冻等级</w:t>
            </w:r>
          </w:p>
        </w:tc>
        <w:tc>
          <w:tcPr>
            <w:tcW w:w="808" w:type="pct"/>
            <w:tcBorders>
              <w:top w:val="nil"/>
              <w:left w:val="nil"/>
              <w:bottom w:val="single" w:color="auto" w:sz="4" w:space="0"/>
              <w:right w:val="single" w:color="auto" w:sz="4" w:space="0"/>
            </w:tcBorders>
            <w:shd w:val="clear" w:color="auto" w:fill="auto"/>
            <w:noWrap/>
            <w:vAlign w:val="center"/>
          </w:tcPr>
          <w:p w14:paraId="2223A8D3">
            <w:pPr>
              <w:widowControl/>
              <w:spacing w:line="240" w:lineRule="exact"/>
              <w:jc w:val="center"/>
              <w:rPr>
                <w:kern w:val="0"/>
                <w:sz w:val="18"/>
                <w:szCs w:val="18"/>
              </w:rPr>
            </w:pPr>
            <w:r>
              <w:rPr>
                <w:kern w:val="0"/>
                <w:sz w:val="18"/>
                <w:szCs w:val="18"/>
              </w:rPr>
              <w:t>F100</w:t>
            </w:r>
          </w:p>
        </w:tc>
        <w:tc>
          <w:tcPr>
            <w:tcW w:w="808" w:type="pct"/>
            <w:tcBorders>
              <w:top w:val="nil"/>
              <w:left w:val="nil"/>
              <w:bottom w:val="single" w:color="auto" w:sz="4" w:space="0"/>
              <w:right w:val="single" w:color="auto" w:sz="4" w:space="0"/>
            </w:tcBorders>
            <w:shd w:val="clear" w:color="auto" w:fill="auto"/>
            <w:noWrap/>
            <w:vAlign w:val="center"/>
          </w:tcPr>
          <w:p w14:paraId="4D10606C">
            <w:pPr>
              <w:widowControl/>
              <w:spacing w:line="240" w:lineRule="exact"/>
              <w:jc w:val="center"/>
              <w:rPr>
                <w:kern w:val="0"/>
                <w:sz w:val="18"/>
                <w:szCs w:val="18"/>
              </w:rPr>
            </w:pPr>
            <w:r>
              <w:rPr>
                <w:kern w:val="0"/>
                <w:sz w:val="18"/>
                <w:szCs w:val="18"/>
              </w:rPr>
              <w:t>F50</w:t>
            </w:r>
          </w:p>
        </w:tc>
        <w:tc>
          <w:tcPr>
            <w:tcW w:w="809" w:type="pct"/>
            <w:tcBorders>
              <w:top w:val="nil"/>
              <w:left w:val="nil"/>
              <w:bottom w:val="single" w:color="auto" w:sz="4" w:space="0"/>
              <w:right w:val="single" w:color="auto" w:sz="4" w:space="0"/>
            </w:tcBorders>
            <w:shd w:val="clear" w:color="auto" w:fill="auto"/>
            <w:noWrap/>
            <w:vAlign w:val="center"/>
          </w:tcPr>
          <w:p w14:paraId="084FEACD">
            <w:pPr>
              <w:widowControl/>
              <w:spacing w:line="240" w:lineRule="exact"/>
              <w:jc w:val="center"/>
              <w:rPr>
                <w:kern w:val="0"/>
                <w:sz w:val="18"/>
                <w:szCs w:val="18"/>
              </w:rPr>
            </w:pPr>
            <w:r>
              <w:rPr>
                <w:kern w:val="0"/>
                <w:sz w:val="18"/>
                <w:szCs w:val="18"/>
              </w:rPr>
              <w:t>F50</w:t>
            </w:r>
          </w:p>
        </w:tc>
      </w:tr>
      <w:tr w14:paraId="7D9AB270">
        <w:tblPrEx>
          <w:tblCellMar>
            <w:top w:w="0" w:type="dxa"/>
            <w:left w:w="108" w:type="dxa"/>
            <w:bottom w:w="0" w:type="dxa"/>
            <w:right w:w="108" w:type="dxa"/>
          </w:tblCellMar>
        </w:tblPrEx>
        <w:trPr>
          <w:trHeight w:val="270" w:hRule="atLeast"/>
        </w:trPr>
        <w:tc>
          <w:tcPr>
            <w:tcW w:w="1512" w:type="pct"/>
            <w:vMerge w:val="continue"/>
            <w:tcBorders>
              <w:top w:val="nil"/>
              <w:left w:val="single" w:color="auto" w:sz="4" w:space="0"/>
              <w:bottom w:val="single" w:color="auto" w:sz="4" w:space="0"/>
              <w:right w:val="single" w:color="auto" w:sz="4" w:space="0"/>
            </w:tcBorders>
            <w:vAlign w:val="center"/>
          </w:tcPr>
          <w:p w14:paraId="08261748">
            <w:pPr>
              <w:widowControl/>
              <w:spacing w:line="240" w:lineRule="exact"/>
              <w:jc w:val="left"/>
              <w:rPr>
                <w:kern w:val="0"/>
                <w:sz w:val="18"/>
                <w:szCs w:val="18"/>
              </w:rPr>
            </w:pPr>
          </w:p>
        </w:tc>
        <w:tc>
          <w:tcPr>
            <w:tcW w:w="1063" w:type="pct"/>
            <w:tcBorders>
              <w:top w:val="nil"/>
              <w:left w:val="nil"/>
              <w:bottom w:val="single" w:color="auto" w:sz="4" w:space="0"/>
              <w:right w:val="single" w:color="auto" w:sz="4" w:space="0"/>
            </w:tcBorders>
            <w:shd w:val="clear" w:color="auto" w:fill="auto"/>
            <w:noWrap/>
            <w:vAlign w:val="center"/>
          </w:tcPr>
          <w:p w14:paraId="3857D5A3">
            <w:pPr>
              <w:widowControl/>
              <w:spacing w:line="240" w:lineRule="exact"/>
              <w:jc w:val="center"/>
              <w:rPr>
                <w:kern w:val="0"/>
                <w:sz w:val="18"/>
                <w:szCs w:val="18"/>
              </w:rPr>
            </w:pPr>
            <w:r>
              <w:rPr>
                <w:rFonts w:hint="eastAsia"/>
                <w:kern w:val="0"/>
                <w:sz w:val="18"/>
                <w:szCs w:val="18"/>
              </w:rPr>
              <w:t>抗渗等级</w:t>
            </w:r>
          </w:p>
        </w:tc>
        <w:tc>
          <w:tcPr>
            <w:tcW w:w="2425" w:type="pct"/>
            <w:gridSpan w:val="3"/>
            <w:tcBorders>
              <w:top w:val="single" w:color="auto" w:sz="4" w:space="0"/>
              <w:left w:val="nil"/>
              <w:bottom w:val="single" w:color="auto" w:sz="4" w:space="0"/>
              <w:right w:val="single" w:color="auto" w:sz="4" w:space="0"/>
            </w:tcBorders>
            <w:shd w:val="clear" w:color="auto" w:fill="auto"/>
            <w:noWrap/>
            <w:vAlign w:val="center"/>
          </w:tcPr>
          <w:p w14:paraId="1CAB95B3">
            <w:pPr>
              <w:widowControl/>
              <w:spacing w:line="240" w:lineRule="exact"/>
              <w:jc w:val="center"/>
              <w:rPr>
                <w:kern w:val="0"/>
                <w:sz w:val="18"/>
                <w:szCs w:val="18"/>
              </w:rPr>
            </w:pPr>
            <w:r>
              <w:rPr>
                <w:rFonts w:hint="eastAsia"/>
                <w:kern w:val="0"/>
                <w:sz w:val="18"/>
                <w:szCs w:val="18"/>
              </w:rPr>
              <w:t>≥</w:t>
            </w:r>
            <w:r>
              <w:rPr>
                <w:kern w:val="0"/>
                <w:sz w:val="18"/>
                <w:szCs w:val="18"/>
              </w:rPr>
              <w:t>W6</w:t>
            </w:r>
          </w:p>
        </w:tc>
      </w:tr>
      <w:tr w14:paraId="1BE0CA65">
        <w:tblPrEx>
          <w:tblCellMar>
            <w:top w:w="0" w:type="dxa"/>
            <w:left w:w="108" w:type="dxa"/>
            <w:bottom w:w="0" w:type="dxa"/>
            <w:right w:w="108" w:type="dxa"/>
          </w:tblCellMar>
        </w:tblPrEx>
        <w:trPr>
          <w:trHeight w:val="270" w:hRule="atLeast"/>
        </w:trPr>
        <w:tc>
          <w:tcPr>
            <w:tcW w:w="1512" w:type="pct"/>
            <w:vMerge w:val="restart"/>
            <w:tcBorders>
              <w:top w:val="nil"/>
              <w:left w:val="single" w:color="auto" w:sz="4" w:space="0"/>
              <w:bottom w:val="single" w:color="auto" w:sz="4" w:space="0"/>
              <w:right w:val="single" w:color="auto" w:sz="4" w:space="0"/>
            </w:tcBorders>
            <w:shd w:val="clear" w:color="auto" w:fill="auto"/>
            <w:noWrap/>
            <w:vAlign w:val="center"/>
          </w:tcPr>
          <w:p w14:paraId="32BC7EA8">
            <w:pPr>
              <w:widowControl/>
              <w:spacing w:line="240" w:lineRule="exact"/>
              <w:jc w:val="center"/>
              <w:rPr>
                <w:kern w:val="0"/>
                <w:sz w:val="18"/>
                <w:szCs w:val="18"/>
              </w:rPr>
            </w:pPr>
            <w:r>
              <w:rPr>
                <w:rFonts w:hint="eastAsia"/>
                <w:kern w:val="0"/>
                <w:sz w:val="18"/>
                <w:szCs w:val="18"/>
              </w:rPr>
              <w:t>轻度侵蚀</w:t>
            </w:r>
          </w:p>
        </w:tc>
        <w:tc>
          <w:tcPr>
            <w:tcW w:w="1063" w:type="pct"/>
            <w:tcBorders>
              <w:top w:val="nil"/>
              <w:left w:val="nil"/>
              <w:bottom w:val="single" w:color="auto" w:sz="4" w:space="0"/>
              <w:right w:val="single" w:color="auto" w:sz="4" w:space="0"/>
            </w:tcBorders>
            <w:shd w:val="clear" w:color="auto" w:fill="auto"/>
            <w:noWrap/>
            <w:vAlign w:val="center"/>
          </w:tcPr>
          <w:p w14:paraId="0453B233">
            <w:pPr>
              <w:widowControl/>
              <w:spacing w:line="240" w:lineRule="exact"/>
              <w:jc w:val="center"/>
              <w:rPr>
                <w:kern w:val="0"/>
                <w:sz w:val="18"/>
                <w:szCs w:val="18"/>
              </w:rPr>
            </w:pPr>
            <w:r>
              <w:rPr>
                <w:rFonts w:hint="eastAsia"/>
                <w:kern w:val="0"/>
                <w:sz w:val="18"/>
                <w:szCs w:val="18"/>
              </w:rPr>
              <w:t>强度等级</w:t>
            </w:r>
          </w:p>
        </w:tc>
        <w:tc>
          <w:tcPr>
            <w:tcW w:w="808" w:type="pct"/>
            <w:tcBorders>
              <w:top w:val="nil"/>
              <w:left w:val="nil"/>
              <w:bottom w:val="single" w:color="auto" w:sz="4" w:space="0"/>
              <w:right w:val="single" w:color="auto" w:sz="4" w:space="0"/>
            </w:tcBorders>
            <w:shd w:val="clear" w:color="auto" w:fill="auto"/>
            <w:noWrap/>
            <w:vAlign w:val="center"/>
          </w:tcPr>
          <w:p w14:paraId="19E806BA">
            <w:pPr>
              <w:widowControl/>
              <w:spacing w:line="240" w:lineRule="exact"/>
              <w:jc w:val="center"/>
              <w:rPr>
                <w:kern w:val="0"/>
                <w:sz w:val="18"/>
                <w:szCs w:val="18"/>
              </w:rPr>
            </w:pPr>
            <w:r>
              <w:rPr>
                <w:kern w:val="0"/>
                <w:sz w:val="18"/>
                <w:szCs w:val="18"/>
              </w:rPr>
              <w:t>C25</w:t>
            </w:r>
          </w:p>
        </w:tc>
        <w:tc>
          <w:tcPr>
            <w:tcW w:w="808" w:type="pct"/>
            <w:tcBorders>
              <w:top w:val="nil"/>
              <w:left w:val="nil"/>
              <w:bottom w:val="single" w:color="auto" w:sz="4" w:space="0"/>
              <w:right w:val="single" w:color="auto" w:sz="4" w:space="0"/>
            </w:tcBorders>
            <w:shd w:val="clear" w:color="auto" w:fill="auto"/>
            <w:noWrap/>
            <w:vAlign w:val="center"/>
          </w:tcPr>
          <w:p w14:paraId="7556C9E2">
            <w:pPr>
              <w:widowControl/>
              <w:spacing w:line="240" w:lineRule="exact"/>
              <w:jc w:val="center"/>
              <w:rPr>
                <w:kern w:val="0"/>
                <w:sz w:val="18"/>
                <w:szCs w:val="18"/>
              </w:rPr>
            </w:pPr>
            <w:r>
              <w:rPr>
                <w:kern w:val="0"/>
                <w:sz w:val="18"/>
                <w:szCs w:val="18"/>
              </w:rPr>
              <w:t>C25</w:t>
            </w:r>
          </w:p>
        </w:tc>
        <w:tc>
          <w:tcPr>
            <w:tcW w:w="809" w:type="pct"/>
            <w:tcBorders>
              <w:top w:val="nil"/>
              <w:left w:val="nil"/>
              <w:bottom w:val="single" w:color="auto" w:sz="4" w:space="0"/>
              <w:right w:val="single" w:color="auto" w:sz="4" w:space="0"/>
            </w:tcBorders>
            <w:shd w:val="clear" w:color="auto" w:fill="auto"/>
            <w:noWrap/>
            <w:vAlign w:val="center"/>
          </w:tcPr>
          <w:p w14:paraId="1D8BEBC6">
            <w:pPr>
              <w:widowControl/>
              <w:spacing w:line="240" w:lineRule="exact"/>
              <w:jc w:val="center"/>
              <w:rPr>
                <w:kern w:val="0"/>
                <w:sz w:val="18"/>
                <w:szCs w:val="18"/>
              </w:rPr>
            </w:pPr>
            <w:r>
              <w:rPr>
                <w:kern w:val="0"/>
                <w:sz w:val="18"/>
                <w:szCs w:val="18"/>
              </w:rPr>
              <w:t>C25</w:t>
            </w:r>
          </w:p>
        </w:tc>
      </w:tr>
      <w:tr w14:paraId="387A391E">
        <w:tblPrEx>
          <w:tblCellMar>
            <w:top w:w="0" w:type="dxa"/>
            <w:left w:w="108" w:type="dxa"/>
            <w:bottom w:w="0" w:type="dxa"/>
            <w:right w:w="108" w:type="dxa"/>
          </w:tblCellMar>
        </w:tblPrEx>
        <w:trPr>
          <w:trHeight w:val="270" w:hRule="atLeast"/>
        </w:trPr>
        <w:tc>
          <w:tcPr>
            <w:tcW w:w="1512" w:type="pct"/>
            <w:vMerge w:val="continue"/>
            <w:tcBorders>
              <w:top w:val="nil"/>
              <w:left w:val="single" w:color="auto" w:sz="4" w:space="0"/>
              <w:bottom w:val="single" w:color="auto" w:sz="4" w:space="0"/>
              <w:right w:val="single" w:color="auto" w:sz="4" w:space="0"/>
            </w:tcBorders>
            <w:vAlign w:val="center"/>
          </w:tcPr>
          <w:p w14:paraId="19C158C3">
            <w:pPr>
              <w:widowControl/>
              <w:spacing w:line="240" w:lineRule="exact"/>
              <w:jc w:val="left"/>
              <w:rPr>
                <w:kern w:val="0"/>
                <w:sz w:val="18"/>
                <w:szCs w:val="18"/>
              </w:rPr>
            </w:pPr>
          </w:p>
        </w:tc>
        <w:tc>
          <w:tcPr>
            <w:tcW w:w="1063" w:type="pct"/>
            <w:tcBorders>
              <w:top w:val="nil"/>
              <w:left w:val="nil"/>
              <w:bottom w:val="single" w:color="auto" w:sz="4" w:space="0"/>
              <w:right w:val="single" w:color="auto" w:sz="4" w:space="0"/>
            </w:tcBorders>
            <w:shd w:val="clear" w:color="auto" w:fill="auto"/>
            <w:noWrap/>
            <w:vAlign w:val="center"/>
          </w:tcPr>
          <w:p w14:paraId="2977030A">
            <w:pPr>
              <w:widowControl/>
              <w:spacing w:line="240" w:lineRule="exact"/>
              <w:jc w:val="center"/>
              <w:rPr>
                <w:kern w:val="0"/>
                <w:sz w:val="18"/>
                <w:szCs w:val="18"/>
              </w:rPr>
            </w:pPr>
            <w:r>
              <w:rPr>
                <w:rFonts w:hint="eastAsia"/>
                <w:kern w:val="0"/>
                <w:sz w:val="18"/>
                <w:szCs w:val="18"/>
              </w:rPr>
              <w:t>抗冻等级</w:t>
            </w:r>
          </w:p>
        </w:tc>
        <w:tc>
          <w:tcPr>
            <w:tcW w:w="808" w:type="pct"/>
            <w:tcBorders>
              <w:top w:val="nil"/>
              <w:left w:val="nil"/>
              <w:bottom w:val="single" w:color="auto" w:sz="4" w:space="0"/>
              <w:right w:val="single" w:color="auto" w:sz="4" w:space="0"/>
            </w:tcBorders>
            <w:shd w:val="clear" w:color="auto" w:fill="auto"/>
            <w:noWrap/>
            <w:vAlign w:val="center"/>
          </w:tcPr>
          <w:p w14:paraId="55BC5413">
            <w:pPr>
              <w:widowControl/>
              <w:spacing w:line="240" w:lineRule="exact"/>
              <w:jc w:val="center"/>
              <w:rPr>
                <w:kern w:val="0"/>
                <w:sz w:val="18"/>
                <w:szCs w:val="18"/>
              </w:rPr>
            </w:pPr>
            <w:r>
              <w:rPr>
                <w:kern w:val="0"/>
                <w:sz w:val="18"/>
                <w:szCs w:val="18"/>
              </w:rPr>
              <w:t>F150</w:t>
            </w:r>
          </w:p>
        </w:tc>
        <w:tc>
          <w:tcPr>
            <w:tcW w:w="808" w:type="pct"/>
            <w:tcBorders>
              <w:top w:val="nil"/>
              <w:left w:val="nil"/>
              <w:bottom w:val="single" w:color="auto" w:sz="4" w:space="0"/>
              <w:right w:val="single" w:color="auto" w:sz="4" w:space="0"/>
            </w:tcBorders>
            <w:shd w:val="clear" w:color="auto" w:fill="auto"/>
            <w:noWrap/>
            <w:vAlign w:val="center"/>
          </w:tcPr>
          <w:p w14:paraId="34F234A5">
            <w:pPr>
              <w:widowControl/>
              <w:spacing w:line="240" w:lineRule="exact"/>
              <w:jc w:val="center"/>
              <w:rPr>
                <w:kern w:val="0"/>
                <w:sz w:val="18"/>
                <w:szCs w:val="18"/>
              </w:rPr>
            </w:pPr>
            <w:r>
              <w:rPr>
                <w:kern w:val="0"/>
                <w:sz w:val="18"/>
                <w:szCs w:val="18"/>
              </w:rPr>
              <w:t>F100</w:t>
            </w:r>
          </w:p>
        </w:tc>
        <w:tc>
          <w:tcPr>
            <w:tcW w:w="809" w:type="pct"/>
            <w:tcBorders>
              <w:top w:val="nil"/>
              <w:left w:val="nil"/>
              <w:bottom w:val="single" w:color="auto" w:sz="4" w:space="0"/>
              <w:right w:val="single" w:color="auto" w:sz="4" w:space="0"/>
            </w:tcBorders>
            <w:shd w:val="clear" w:color="auto" w:fill="auto"/>
            <w:noWrap/>
            <w:vAlign w:val="center"/>
          </w:tcPr>
          <w:p w14:paraId="4ADA6C51">
            <w:pPr>
              <w:widowControl/>
              <w:spacing w:line="240" w:lineRule="exact"/>
              <w:jc w:val="center"/>
              <w:rPr>
                <w:kern w:val="0"/>
                <w:sz w:val="18"/>
                <w:szCs w:val="18"/>
              </w:rPr>
            </w:pPr>
            <w:r>
              <w:rPr>
                <w:kern w:val="0"/>
                <w:sz w:val="18"/>
                <w:szCs w:val="18"/>
              </w:rPr>
              <w:t>F50</w:t>
            </w:r>
          </w:p>
        </w:tc>
      </w:tr>
      <w:tr w14:paraId="0665BC7B">
        <w:tblPrEx>
          <w:tblCellMar>
            <w:top w:w="0" w:type="dxa"/>
            <w:left w:w="108" w:type="dxa"/>
            <w:bottom w:w="0" w:type="dxa"/>
            <w:right w:w="108" w:type="dxa"/>
          </w:tblCellMar>
        </w:tblPrEx>
        <w:trPr>
          <w:trHeight w:val="270" w:hRule="atLeast"/>
        </w:trPr>
        <w:tc>
          <w:tcPr>
            <w:tcW w:w="1512" w:type="pct"/>
            <w:vMerge w:val="continue"/>
            <w:tcBorders>
              <w:top w:val="nil"/>
              <w:left w:val="single" w:color="auto" w:sz="4" w:space="0"/>
              <w:bottom w:val="single" w:color="auto" w:sz="4" w:space="0"/>
              <w:right w:val="single" w:color="auto" w:sz="4" w:space="0"/>
            </w:tcBorders>
            <w:vAlign w:val="center"/>
          </w:tcPr>
          <w:p w14:paraId="43EDF7A2">
            <w:pPr>
              <w:widowControl/>
              <w:spacing w:line="240" w:lineRule="exact"/>
              <w:jc w:val="left"/>
              <w:rPr>
                <w:kern w:val="0"/>
                <w:sz w:val="18"/>
                <w:szCs w:val="18"/>
              </w:rPr>
            </w:pPr>
          </w:p>
        </w:tc>
        <w:tc>
          <w:tcPr>
            <w:tcW w:w="1063" w:type="pct"/>
            <w:tcBorders>
              <w:top w:val="nil"/>
              <w:left w:val="nil"/>
              <w:bottom w:val="single" w:color="auto" w:sz="4" w:space="0"/>
              <w:right w:val="single" w:color="auto" w:sz="4" w:space="0"/>
            </w:tcBorders>
            <w:shd w:val="clear" w:color="auto" w:fill="auto"/>
            <w:noWrap/>
            <w:vAlign w:val="center"/>
          </w:tcPr>
          <w:p w14:paraId="1B41E37C">
            <w:pPr>
              <w:widowControl/>
              <w:spacing w:line="240" w:lineRule="exact"/>
              <w:jc w:val="center"/>
              <w:rPr>
                <w:kern w:val="0"/>
                <w:sz w:val="18"/>
                <w:szCs w:val="18"/>
              </w:rPr>
            </w:pPr>
            <w:r>
              <w:rPr>
                <w:rFonts w:hint="eastAsia"/>
                <w:kern w:val="0"/>
                <w:sz w:val="18"/>
                <w:szCs w:val="18"/>
              </w:rPr>
              <w:t>抗渗等级</w:t>
            </w:r>
          </w:p>
        </w:tc>
        <w:tc>
          <w:tcPr>
            <w:tcW w:w="2425" w:type="pct"/>
            <w:gridSpan w:val="3"/>
            <w:tcBorders>
              <w:top w:val="single" w:color="auto" w:sz="4" w:space="0"/>
              <w:left w:val="nil"/>
              <w:bottom w:val="single" w:color="auto" w:sz="4" w:space="0"/>
              <w:right w:val="single" w:color="auto" w:sz="4" w:space="0"/>
            </w:tcBorders>
            <w:shd w:val="clear" w:color="auto" w:fill="auto"/>
            <w:noWrap/>
            <w:vAlign w:val="center"/>
          </w:tcPr>
          <w:p w14:paraId="49C0D986">
            <w:pPr>
              <w:widowControl/>
              <w:spacing w:line="240" w:lineRule="exact"/>
              <w:jc w:val="center"/>
              <w:rPr>
                <w:kern w:val="0"/>
                <w:sz w:val="18"/>
                <w:szCs w:val="18"/>
              </w:rPr>
            </w:pPr>
            <w:r>
              <w:rPr>
                <w:rFonts w:hint="eastAsia"/>
                <w:kern w:val="0"/>
                <w:sz w:val="18"/>
                <w:szCs w:val="18"/>
              </w:rPr>
              <w:t>≥</w:t>
            </w:r>
            <w:r>
              <w:rPr>
                <w:kern w:val="0"/>
                <w:sz w:val="18"/>
                <w:szCs w:val="18"/>
              </w:rPr>
              <w:t>W6</w:t>
            </w:r>
          </w:p>
        </w:tc>
      </w:tr>
      <w:tr w14:paraId="35A6757F">
        <w:tblPrEx>
          <w:tblCellMar>
            <w:top w:w="0" w:type="dxa"/>
            <w:left w:w="108" w:type="dxa"/>
            <w:bottom w:w="0" w:type="dxa"/>
            <w:right w:w="108" w:type="dxa"/>
          </w:tblCellMar>
        </w:tblPrEx>
        <w:trPr>
          <w:trHeight w:val="270" w:hRule="atLeast"/>
        </w:trPr>
        <w:tc>
          <w:tcPr>
            <w:tcW w:w="1512" w:type="pct"/>
            <w:vMerge w:val="restart"/>
            <w:tcBorders>
              <w:top w:val="nil"/>
              <w:left w:val="single" w:color="auto" w:sz="4" w:space="0"/>
              <w:bottom w:val="single" w:color="auto" w:sz="4" w:space="0"/>
              <w:right w:val="single" w:color="auto" w:sz="4" w:space="0"/>
            </w:tcBorders>
            <w:shd w:val="clear" w:color="auto" w:fill="auto"/>
            <w:noWrap/>
            <w:vAlign w:val="center"/>
          </w:tcPr>
          <w:p w14:paraId="07FC6326">
            <w:pPr>
              <w:widowControl/>
              <w:spacing w:line="240" w:lineRule="exact"/>
              <w:jc w:val="center"/>
              <w:rPr>
                <w:kern w:val="0"/>
                <w:sz w:val="18"/>
                <w:szCs w:val="18"/>
              </w:rPr>
            </w:pPr>
            <w:r>
              <w:rPr>
                <w:rFonts w:hint="eastAsia"/>
                <w:kern w:val="0"/>
                <w:sz w:val="18"/>
                <w:szCs w:val="18"/>
              </w:rPr>
              <w:t>中度侵蚀</w:t>
            </w:r>
          </w:p>
        </w:tc>
        <w:tc>
          <w:tcPr>
            <w:tcW w:w="1063" w:type="pct"/>
            <w:tcBorders>
              <w:top w:val="nil"/>
              <w:left w:val="nil"/>
              <w:bottom w:val="single" w:color="auto" w:sz="4" w:space="0"/>
              <w:right w:val="single" w:color="auto" w:sz="4" w:space="0"/>
            </w:tcBorders>
            <w:shd w:val="clear" w:color="auto" w:fill="auto"/>
            <w:noWrap/>
            <w:vAlign w:val="center"/>
          </w:tcPr>
          <w:p w14:paraId="78745F93">
            <w:pPr>
              <w:widowControl/>
              <w:spacing w:line="240" w:lineRule="exact"/>
              <w:jc w:val="center"/>
              <w:rPr>
                <w:kern w:val="0"/>
                <w:sz w:val="18"/>
                <w:szCs w:val="18"/>
              </w:rPr>
            </w:pPr>
            <w:r>
              <w:rPr>
                <w:rFonts w:hint="eastAsia"/>
                <w:kern w:val="0"/>
                <w:sz w:val="18"/>
                <w:szCs w:val="18"/>
              </w:rPr>
              <w:t>强度等级</w:t>
            </w:r>
          </w:p>
        </w:tc>
        <w:tc>
          <w:tcPr>
            <w:tcW w:w="808" w:type="pct"/>
            <w:tcBorders>
              <w:top w:val="nil"/>
              <w:left w:val="nil"/>
              <w:bottom w:val="single" w:color="auto" w:sz="4" w:space="0"/>
              <w:right w:val="single" w:color="auto" w:sz="4" w:space="0"/>
            </w:tcBorders>
            <w:shd w:val="clear" w:color="auto" w:fill="auto"/>
            <w:noWrap/>
            <w:vAlign w:val="center"/>
          </w:tcPr>
          <w:p w14:paraId="23838224">
            <w:pPr>
              <w:widowControl/>
              <w:spacing w:line="240" w:lineRule="exact"/>
              <w:jc w:val="center"/>
              <w:rPr>
                <w:kern w:val="0"/>
                <w:sz w:val="18"/>
                <w:szCs w:val="18"/>
              </w:rPr>
            </w:pPr>
            <w:r>
              <w:rPr>
                <w:kern w:val="0"/>
                <w:sz w:val="18"/>
                <w:szCs w:val="18"/>
              </w:rPr>
              <w:t>C30</w:t>
            </w:r>
          </w:p>
        </w:tc>
        <w:tc>
          <w:tcPr>
            <w:tcW w:w="808" w:type="pct"/>
            <w:tcBorders>
              <w:top w:val="nil"/>
              <w:left w:val="nil"/>
              <w:bottom w:val="single" w:color="auto" w:sz="4" w:space="0"/>
              <w:right w:val="single" w:color="auto" w:sz="4" w:space="0"/>
            </w:tcBorders>
            <w:shd w:val="clear" w:color="auto" w:fill="auto"/>
            <w:noWrap/>
            <w:vAlign w:val="center"/>
          </w:tcPr>
          <w:p w14:paraId="07245CBF">
            <w:pPr>
              <w:widowControl/>
              <w:spacing w:line="240" w:lineRule="exact"/>
              <w:jc w:val="center"/>
              <w:rPr>
                <w:kern w:val="0"/>
                <w:sz w:val="18"/>
                <w:szCs w:val="18"/>
              </w:rPr>
            </w:pPr>
            <w:r>
              <w:rPr>
                <w:kern w:val="0"/>
                <w:sz w:val="18"/>
                <w:szCs w:val="18"/>
              </w:rPr>
              <w:t>C25</w:t>
            </w:r>
          </w:p>
        </w:tc>
        <w:tc>
          <w:tcPr>
            <w:tcW w:w="809" w:type="pct"/>
            <w:tcBorders>
              <w:top w:val="nil"/>
              <w:left w:val="nil"/>
              <w:bottom w:val="single" w:color="auto" w:sz="4" w:space="0"/>
              <w:right w:val="single" w:color="auto" w:sz="4" w:space="0"/>
            </w:tcBorders>
            <w:shd w:val="clear" w:color="auto" w:fill="auto"/>
            <w:noWrap/>
            <w:vAlign w:val="center"/>
          </w:tcPr>
          <w:p w14:paraId="1906D1AC">
            <w:pPr>
              <w:widowControl/>
              <w:spacing w:line="240" w:lineRule="exact"/>
              <w:jc w:val="center"/>
              <w:rPr>
                <w:kern w:val="0"/>
                <w:sz w:val="18"/>
                <w:szCs w:val="18"/>
              </w:rPr>
            </w:pPr>
            <w:r>
              <w:rPr>
                <w:kern w:val="0"/>
                <w:sz w:val="18"/>
                <w:szCs w:val="18"/>
              </w:rPr>
              <w:t>C25</w:t>
            </w:r>
          </w:p>
        </w:tc>
      </w:tr>
      <w:tr w14:paraId="6A6A7B67">
        <w:tblPrEx>
          <w:tblCellMar>
            <w:top w:w="0" w:type="dxa"/>
            <w:left w:w="108" w:type="dxa"/>
            <w:bottom w:w="0" w:type="dxa"/>
            <w:right w:w="108" w:type="dxa"/>
          </w:tblCellMar>
        </w:tblPrEx>
        <w:trPr>
          <w:trHeight w:val="270" w:hRule="atLeast"/>
        </w:trPr>
        <w:tc>
          <w:tcPr>
            <w:tcW w:w="1512" w:type="pct"/>
            <w:vMerge w:val="continue"/>
            <w:tcBorders>
              <w:top w:val="nil"/>
              <w:left w:val="single" w:color="auto" w:sz="4" w:space="0"/>
              <w:bottom w:val="single" w:color="auto" w:sz="4" w:space="0"/>
              <w:right w:val="single" w:color="auto" w:sz="4" w:space="0"/>
            </w:tcBorders>
            <w:vAlign w:val="center"/>
          </w:tcPr>
          <w:p w14:paraId="4DF663F3">
            <w:pPr>
              <w:widowControl/>
              <w:spacing w:line="240" w:lineRule="exact"/>
              <w:jc w:val="left"/>
              <w:rPr>
                <w:kern w:val="0"/>
                <w:sz w:val="18"/>
                <w:szCs w:val="18"/>
              </w:rPr>
            </w:pPr>
          </w:p>
        </w:tc>
        <w:tc>
          <w:tcPr>
            <w:tcW w:w="1063" w:type="pct"/>
            <w:tcBorders>
              <w:top w:val="nil"/>
              <w:left w:val="nil"/>
              <w:bottom w:val="single" w:color="auto" w:sz="4" w:space="0"/>
              <w:right w:val="single" w:color="auto" w:sz="4" w:space="0"/>
            </w:tcBorders>
            <w:shd w:val="clear" w:color="auto" w:fill="auto"/>
            <w:noWrap/>
            <w:vAlign w:val="center"/>
          </w:tcPr>
          <w:p w14:paraId="006540D1">
            <w:pPr>
              <w:widowControl/>
              <w:spacing w:line="240" w:lineRule="exact"/>
              <w:jc w:val="center"/>
              <w:rPr>
                <w:kern w:val="0"/>
                <w:sz w:val="18"/>
                <w:szCs w:val="18"/>
              </w:rPr>
            </w:pPr>
            <w:r>
              <w:rPr>
                <w:rFonts w:hint="eastAsia"/>
                <w:kern w:val="0"/>
                <w:sz w:val="18"/>
                <w:szCs w:val="18"/>
              </w:rPr>
              <w:t>抗冻等级</w:t>
            </w:r>
          </w:p>
        </w:tc>
        <w:tc>
          <w:tcPr>
            <w:tcW w:w="808" w:type="pct"/>
            <w:tcBorders>
              <w:top w:val="nil"/>
              <w:left w:val="nil"/>
              <w:bottom w:val="single" w:color="auto" w:sz="4" w:space="0"/>
              <w:right w:val="single" w:color="auto" w:sz="4" w:space="0"/>
            </w:tcBorders>
            <w:shd w:val="clear" w:color="auto" w:fill="auto"/>
            <w:noWrap/>
            <w:vAlign w:val="center"/>
          </w:tcPr>
          <w:p w14:paraId="477435BE">
            <w:pPr>
              <w:widowControl/>
              <w:spacing w:line="240" w:lineRule="exact"/>
              <w:jc w:val="center"/>
              <w:rPr>
                <w:kern w:val="0"/>
                <w:sz w:val="18"/>
                <w:szCs w:val="18"/>
              </w:rPr>
            </w:pPr>
            <w:r>
              <w:rPr>
                <w:kern w:val="0"/>
                <w:sz w:val="18"/>
                <w:szCs w:val="18"/>
              </w:rPr>
              <w:t>F200</w:t>
            </w:r>
          </w:p>
        </w:tc>
        <w:tc>
          <w:tcPr>
            <w:tcW w:w="808" w:type="pct"/>
            <w:tcBorders>
              <w:top w:val="nil"/>
              <w:left w:val="nil"/>
              <w:bottom w:val="single" w:color="auto" w:sz="4" w:space="0"/>
              <w:right w:val="single" w:color="auto" w:sz="4" w:space="0"/>
            </w:tcBorders>
            <w:shd w:val="clear" w:color="auto" w:fill="auto"/>
            <w:noWrap/>
            <w:vAlign w:val="center"/>
          </w:tcPr>
          <w:p w14:paraId="503E8D1F">
            <w:pPr>
              <w:widowControl/>
              <w:spacing w:line="240" w:lineRule="exact"/>
              <w:jc w:val="center"/>
              <w:rPr>
                <w:kern w:val="0"/>
                <w:sz w:val="18"/>
                <w:szCs w:val="18"/>
              </w:rPr>
            </w:pPr>
            <w:r>
              <w:rPr>
                <w:kern w:val="0"/>
                <w:sz w:val="18"/>
                <w:szCs w:val="18"/>
              </w:rPr>
              <w:t>F150</w:t>
            </w:r>
          </w:p>
        </w:tc>
        <w:tc>
          <w:tcPr>
            <w:tcW w:w="809" w:type="pct"/>
            <w:tcBorders>
              <w:top w:val="nil"/>
              <w:left w:val="nil"/>
              <w:bottom w:val="single" w:color="auto" w:sz="4" w:space="0"/>
              <w:right w:val="single" w:color="auto" w:sz="4" w:space="0"/>
            </w:tcBorders>
            <w:shd w:val="clear" w:color="auto" w:fill="auto"/>
            <w:noWrap/>
            <w:vAlign w:val="center"/>
          </w:tcPr>
          <w:p w14:paraId="0AB8B0FC">
            <w:pPr>
              <w:widowControl/>
              <w:spacing w:line="240" w:lineRule="exact"/>
              <w:jc w:val="center"/>
              <w:rPr>
                <w:kern w:val="0"/>
                <w:sz w:val="18"/>
                <w:szCs w:val="18"/>
              </w:rPr>
            </w:pPr>
            <w:r>
              <w:rPr>
                <w:kern w:val="0"/>
                <w:sz w:val="18"/>
                <w:szCs w:val="18"/>
              </w:rPr>
              <w:t>F100</w:t>
            </w:r>
          </w:p>
        </w:tc>
      </w:tr>
      <w:tr w14:paraId="4F4AA8F6">
        <w:tblPrEx>
          <w:tblCellMar>
            <w:top w:w="0" w:type="dxa"/>
            <w:left w:w="108" w:type="dxa"/>
            <w:bottom w:w="0" w:type="dxa"/>
            <w:right w:w="108" w:type="dxa"/>
          </w:tblCellMar>
        </w:tblPrEx>
        <w:trPr>
          <w:trHeight w:val="270" w:hRule="atLeast"/>
        </w:trPr>
        <w:tc>
          <w:tcPr>
            <w:tcW w:w="1512" w:type="pct"/>
            <w:vMerge w:val="continue"/>
            <w:tcBorders>
              <w:top w:val="nil"/>
              <w:left w:val="single" w:color="auto" w:sz="4" w:space="0"/>
              <w:bottom w:val="single" w:color="auto" w:sz="4" w:space="0"/>
              <w:right w:val="single" w:color="auto" w:sz="4" w:space="0"/>
            </w:tcBorders>
            <w:vAlign w:val="center"/>
          </w:tcPr>
          <w:p w14:paraId="120CFFAE">
            <w:pPr>
              <w:widowControl/>
              <w:spacing w:line="240" w:lineRule="exact"/>
              <w:jc w:val="left"/>
              <w:rPr>
                <w:kern w:val="0"/>
                <w:sz w:val="18"/>
                <w:szCs w:val="18"/>
              </w:rPr>
            </w:pPr>
          </w:p>
        </w:tc>
        <w:tc>
          <w:tcPr>
            <w:tcW w:w="1063" w:type="pct"/>
            <w:tcBorders>
              <w:top w:val="nil"/>
              <w:left w:val="nil"/>
              <w:bottom w:val="single" w:color="auto" w:sz="4" w:space="0"/>
              <w:right w:val="single" w:color="auto" w:sz="4" w:space="0"/>
            </w:tcBorders>
            <w:shd w:val="clear" w:color="auto" w:fill="auto"/>
            <w:noWrap/>
            <w:vAlign w:val="center"/>
          </w:tcPr>
          <w:p w14:paraId="17B960D9">
            <w:pPr>
              <w:widowControl/>
              <w:spacing w:line="240" w:lineRule="exact"/>
              <w:jc w:val="center"/>
              <w:rPr>
                <w:kern w:val="0"/>
                <w:sz w:val="18"/>
                <w:szCs w:val="18"/>
              </w:rPr>
            </w:pPr>
            <w:r>
              <w:rPr>
                <w:rFonts w:hint="eastAsia"/>
                <w:kern w:val="0"/>
                <w:sz w:val="18"/>
                <w:szCs w:val="18"/>
              </w:rPr>
              <w:t>抗渗等级</w:t>
            </w:r>
          </w:p>
        </w:tc>
        <w:tc>
          <w:tcPr>
            <w:tcW w:w="2425" w:type="pct"/>
            <w:gridSpan w:val="3"/>
            <w:tcBorders>
              <w:top w:val="single" w:color="auto" w:sz="4" w:space="0"/>
              <w:left w:val="nil"/>
              <w:bottom w:val="single" w:color="auto" w:sz="4" w:space="0"/>
              <w:right w:val="single" w:color="auto" w:sz="4" w:space="0"/>
            </w:tcBorders>
            <w:shd w:val="clear" w:color="auto" w:fill="auto"/>
            <w:noWrap/>
            <w:vAlign w:val="center"/>
          </w:tcPr>
          <w:p w14:paraId="3DC525DF">
            <w:pPr>
              <w:widowControl/>
              <w:spacing w:line="240" w:lineRule="exact"/>
              <w:jc w:val="center"/>
              <w:rPr>
                <w:kern w:val="0"/>
                <w:sz w:val="18"/>
                <w:szCs w:val="18"/>
              </w:rPr>
            </w:pPr>
            <w:r>
              <w:rPr>
                <w:rFonts w:hint="eastAsia"/>
                <w:kern w:val="0"/>
                <w:sz w:val="18"/>
                <w:szCs w:val="18"/>
              </w:rPr>
              <w:t>≥</w:t>
            </w:r>
            <w:r>
              <w:rPr>
                <w:kern w:val="0"/>
                <w:sz w:val="18"/>
                <w:szCs w:val="18"/>
              </w:rPr>
              <w:t>W6</w:t>
            </w:r>
          </w:p>
        </w:tc>
      </w:tr>
      <w:tr w14:paraId="217D202C">
        <w:tblPrEx>
          <w:tblCellMar>
            <w:top w:w="0" w:type="dxa"/>
            <w:left w:w="108" w:type="dxa"/>
            <w:bottom w:w="0" w:type="dxa"/>
            <w:right w:w="108" w:type="dxa"/>
          </w:tblCellMar>
        </w:tblPrEx>
        <w:trPr>
          <w:trHeight w:val="270" w:hRule="atLeast"/>
        </w:trPr>
        <w:tc>
          <w:tcPr>
            <w:tcW w:w="1512" w:type="pct"/>
            <w:vMerge w:val="restart"/>
            <w:tcBorders>
              <w:top w:val="nil"/>
              <w:left w:val="single" w:color="auto" w:sz="4" w:space="0"/>
              <w:bottom w:val="single" w:color="auto" w:sz="4" w:space="0"/>
              <w:right w:val="single" w:color="auto" w:sz="4" w:space="0"/>
            </w:tcBorders>
            <w:shd w:val="clear" w:color="auto" w:fill="auto"/>
            <w:noWrap/>
            <w:vAlign w:val="center"/>
          </w:tcPr>
          <w:p w14:paraId="7E40D41C">
            <w:pPr>
              <w:widowControl/>
              <w:spacing w:line="240" w:lineRule="exact"/>
              <w:jc w:val="center"/>
              <w:rPr>
                <w:kern w:val="0"/>
                <w:sz w:val="18"/>
                <w:szCs w:val="18"/>
              </w:rPr>
            </w:pPr>
            <w:r>
              <w:rPr>
                <w:rFonts w:hint="eastAsia"/>
                <w:kern w:val="0"/>
                <w:sz w:val="18"/>
                <w:szCs w:val="18"/>
              </w:rPr>
              <w:t>严重侵蚀</w:t>
            </w:r>
          </w:p>
        </w:tc>
        <w:tc>
          <w:tcPr>
            <w:tcW w:w="1063" w:type="pct"/>
            <w:tcBorders>
              <w:top w:val="nil"/>
              <w:left w:val="nil"/>
              <w:bottom w:val="single" w:color="auto" w:sz="4" w:space="0"/>
              <w:right w:val="single" w:color="auto" w:sz="4" w:space="0"/>
            </w:tcBorders>
            <w:shd w:val="clear" w:color="auto" w:fill="auto"/>
            <w:noWrap/>
            <w:vAlign w:val="center"/>
          </w:tcPr>
          <w:p w14:paraId="181621D9">
            <w:pPr>
              <w:widowControl/>
              <w:spacing w:line="240" w:lineRule="exact"/>
              <w:jc w:val="center"/>
              <w:rPr>
                <w:kern w:val="0"/>
                <w:sz w:val="18"/>
                <w:szCs w:val="18"/>
              </w:rPr>
            </w:pPr>
            <w:r>
              <w:rPr>
                <w:rFonts w:hint="eastAsia"/>
                <w:kern w:val="0"/>
                <w:sz w:val="18"/>
                <w:szCs w:val="18"/>
              </w:rPr>
              <w:t>强度等级</w:t>
            </w:r>
          </w:p>
        </w:tc>
        <w:tc>
          <w:tcPr>
            <w:tcW w:w="808" w:type="pct"/>
            <w:tcBorders>
              <w:top w:val="nil"/>
              <w:left w:val="nil"/>
              <w:bottom w:val="single" w:color="auto" w:sz="4" w:space="0"/>
              <w:right w:val="single" w:color="auto" w:sz="4" w:space="0"/>
            </w:tcBorders>
            <w:shd w:val="clear" w:color="auto" w:fill="auto"/>
            <w:noWrap/>
            <w:vAlign w:val="center"/>
          </w:tcPr>
          <w:p w14:paraId="241D360F">
            <w:pPr>
              <w:widowControl/>
              <w:spacing w:line="240" w:lineRule="exact"/>
              <w:jc w:val="center"/>
              <w:rPr>
                <w:kern w:val="0"/>
                <w:sz w:val="18"/>
                <w:szCs w:val="18"/>
              </w:rPr>
            </w:pPr>
            <w:r>
              <w:rPr>
                <w:kern w:val="0"/>
                <w:sz w:val="18"/>
                <w:szCs w:val="18"/>
              </w:rPr>
              <w:t>C35</w:t>
            </w:r>
          </w:p>
        </w:tc>
        <w:tc>
          <w:tcPr>
            <w:tcW w:w="808" w:type="pct"/>
            <w:tcBorders>
              <w:top w:val="nil"/>
              <w:left w:val="nil"/>
              <w:bottom w:val="single" w:color="auto" w:sz="4" w:space="0"/>
              <w:right w:val="single" w:color="auto" w:sz="4" w:space="0"/>
            </w:tcBorders>
            <w:shd w:val="clear" w:color="auto" w:fill="auto"/>
            <w:noWrap/>
            <w:vAlign w:val="center"/>
          </w:tcPr>
          <w:p w14:paraId="0FAFA815">
            <w:pPr>
              <w:widowControl/>
              <w:spacing w:line="240" w:lineRule="exact"/>
              <w:jc w:val="center"/>
              <w:rPr>
                <w:kern w:val="0"/>
                <w:sz w:val="18"/>
                <w:szCs w:val="18"/>
              </w:rPr>
            </w:pPr>
            <w:r>
              <w:rPr>
                <w:kern w:val="0"/>
                <w:sz w:val="18"/>
                <w:szCs w:val="18"/>
              </w:rPr>
              <w:t>C30</w:t>
            </w:r>
          </w:p>
        </w:tc>
        <w:tc>
          <w:tcPr>
            <w:tcW w:w="809" w:type="pct"/>
            <w:tcBorders>
              <w:top w:val="nil"/>
              <w:left w:val="nil"/>
              <w:bottom w:val="single" w:color="auto" w:sz="4" w:space="0"/>
              <w:right w:val="single" w:color="auto" w:sz="4" w:space="0"/>
            </w:tcBorders>
            <w:shd w:val="clear" w:color="auto" w:fill="auto"/>
            <w:noWrap/>
            <w:vAlign w:val="center"/>
          </w:tcPr>
          <w:p w14:paraId="60CFDDCE">
            <w:pPr>
              <w:widowControl/>
              <w:spacing w:line="240" w:lineRule="exact"/>
              <w:jc w:val="center"/>
              <w:rPr>
                <w:kern w:val="0"/>
                <w:sz w:val="18"/>
                <w:szCs w:val="18"/>
              </w:rPr>
            </w:pPr>
            <w:r>
              <w:rPr>
                <w:kern w:val="0"/>
                <w:sz w:val="18"/>
                <w:szCs w:val="18"/>
              </w:rPr>
              <w:t>C25</w:t>
            </w:r>
          </w:p>
        </w:tc>
      </w:tr>
      <w:tr w14:paraId="6B434100">
        <w:tblPrEx>
          <w:tblCellMar>
            <w:top w:w="0" w:type="dxa"/>
            <w:left w:w="108" w:type="dxa"/>
            <w:bottom w:w="0" w:type="dxa"/>
            <w:right w:w="108" w:type="dxa"/>
          </w:tblCellMar>
        </w:tblPrEx>
        <w:trPr>
          <w:trHeight w:val="270" w:hRule="atLeast"/>
        </w:trPr>
        <w:tc>
          <w:tcPr>
            <w:tcW w:w="1512" w:type="pct"/>
            <w:vMerge w:val="continue"/>
            <w:tcBorders>
              <w:top w:val="nil"/>
              <w:left w:val="single" w:color="auto" w:sz="4" w:space="0"/>
              <w:bottom w:val="single" w:color="auto" w:sz="4" w:space="0"/>
              <w:right w:val="single" w:color="auto" w:sz="4" w:space="0"/>
            </w:tcBorders>
            <w:vAlign w:val="center"/>
          </w:tcPr>
          <w:p w14:paraId="584806E2">
            <w:pPr>
              <w:widowControl/>
              <w:spacing w:line="240" w:lineRule="exact"/>
              <w:jc w:val="left"/>
              <w:rPr>
                <w:kern w:val="0"/>
                <w:sz w:val="18"/>
                <w:szCs w:val="18"/>
              </w:rPr>
            </w:pPr>
          </w:p>
        </w:tc>
        <w:tc>
          <w:tcPr>
            <w:tcW w:w="1063" w:type="pct"/>
            <w:tcBorders>
              <w:top w:val="nil"/>
              <w:left w:val="nil"/>
              <w:bottom w:val="single" w:color="auto" w:sz="4" w:space="0"/>
              <w:right w:val="single" w:color="auto" w:sz="4" w:space="0"/>
            </w:tcBorders>
            <w:shd w:val="clear" w:color="auto" w:fill="auto"/>
            <w:noWrap/>
            <w:vAlign w:val="center"/>
          </w:tcPr>
          <w:p w14:paraId="5E3CF034">
            <w:pPr>
              <w:widowControl/>
              <w:spacing w:line="240" w:lineRule="exact"/>
              <w:jc w:val="center"/>
              <w:rPr>
                <w:kern w:val="0"/>
                <w:sz w:val="18"/>
                <w:szCs w:val="18"/>
              </w:rPr>
            </w:pPr>
            <w:r>
              <w:rPr>
                <w:rFonts w:hint="eastAsia"/>
                <w:kern w:val="0"/>
                <w:sz w:val="18"/>
                <w:szCs w:val="18"/>
              </w:rPr>
              <w:t>抗冻等级</w:t>
            </w:r>
          </w:p>
        </w:tc>
        <w:tc>
          <w:tcPr>
            <w:tcW w:w="808" w:type="pct"/>
            <w:tcBorders>
              <w:top w:val="nil"/>
              <w:left w:val="nil"/>
              <w:bottom w:val="single" w:color="auto" w:sz="4" w:space="0"/>
              <w:right w:val="single" w:color="auto" w:sz="4" w:space="0"/>
            </w:tcBorders>
            <w:shd w:val="clear" w:color="auto" w:fill="auto"/>
            <w:noWrap/>
            <w:vAlign w:val="center"/>
          </w:tcPr>
          <w:p w14:paraId="62D7EE81">
            <w:pPr>
              <w:widowControl/>
              <w:spacing w:line="240" w:lineRule="exact"/>
              <w:jc w:val="center"/>
              <w:rPr>
                <w:kern w:val="0"/>
                <w:sz w:val="18"/>
                <w:szCs w:val="18"/>
              </w:rPr>
            </w:pPr>
            <w:r>
              <w:rPr>
                <w:kern w:val="0"/>
                <w:sz w:val="18"/>
                <w:szCs w:val="18"/>
              </w:rPr>
              <w:t>F250</w:t>
            </w:r>
          </w:p>
        </w:tc>
        <w:tc>
          <w:tcPr>
            <w:tcW w:w="808" w:type="pct"/>
            <w:tcBorders>
              <w:top w:val="nil"/>
              <w:left w:val="nil"/>
              <w:bottom w:val="single" w:color="auto" w:sz="4" w:space="0"/>
              <w:right w:val="single" w:color="auto" w:sz="4" w:space="0"/>
            </w:tcBorders>
            <w:shd w:val="clear" w:color="auto" w:fill="auto"/>
            <w:noWrap/>
            <w:vAlign w:val="center"/>
          </w:tcPr>
          <w:p w14:paraId="10E5AF1F">
            <w:pPr>
              <w:widowControl/>
              <w:spacing w:line="240" w:lineRule="exact"/>
              <w:jc w:val="center"/>
              <w:rPr>
                <w:kern w:val="0"/>
                <w:sz w:val="18"/>
                <w:szCs w:val="18"/>
              </w:rPr>
            </w:pPr>
            <w:r>
              <w:rPr>
                <w:kern w:val="0"/>
                <w:sz w:val="18"/>
                <w:szCs w:val="18"/>
              </w:rPr>
              <w:t>F200</w:t>
            </w:r>
          </w:p>
        </w:tc>
        <w:tc>
          <w:tcPr>
            <w:tcW w:w="809" w:type="pct"/>
            <w:tcBorders>
              <w:top w:val="nil"/>
              <w:left w:val="nil"/>
              <w:bottom w:val="single" w:color="auto" w:sz="4" w:space="0"/>
              <w:right w:val="single" w:color="auto" w:sz="4" w:space="0"/>
            </w:tcBorders>
            <w:shd w:val="clear" w:color="auto" w:fill="auto"/>
            <w:noWrap/>
            <w:vAlign w:val="center"/>
          </w:tcPr>
          <w:p w14:paraId="567BED16">
            <w:pPr>
              <w:widowControl/>
              <w:spacing w:line="240" w:lineRule="exact"/>
              <w:jc w:val="center"/>
              <w:rPr>
                <w:kern w:val="0"/>
                <w:sz w:val="18"/>
                <w:szCs w:val="18"/>
              </w:rPr>
            </w:pPr>
            <w:r>
              <w:rPr>
                <w:kern w:val="0"/>
                <w:sz w:val="18"/>
                <w:szCs w:val="18"/>
              </w:rPr>
              <w:t>F150</w:t>
            </w:r>
          </w:p>
        </w:tc>
      </w:tr>
      <w:tr w14:paraId="2C211D2F">
        <w:tblPrEx>
          <w:tblCellMar>
            <w:top w:w="0" w:type="dxa"/>
            <w:left w:w="108" w:type="dxa"/>
            <w:bottom w:w="0" w:type="dxa"/>
            <w:right w:w="108" w:type="dxa"/>
          </w:tblCellMar>
        </w:tblPrEx>
        <w:trPr>
          <w:trHeight w:val="270" w:hRule="atLeast"/>
        </w:trPr>
        <w:tc>
          <w:tcPr>
            <w:tcW w:w="1512" w:type="pct"/>
            <w:vMerge w:val="continue"/>
            <w:tcBorders>
              <w:top w:val="nil"/>
              <w:left w:val="single" w:color="auto" w:sz="4" w:space="0"/>
              <w:bottom w:val="single" w:color="auto" w:sz="4" w:space="0"/>
              <w:right w:val="single" w:color="auto" w:sz="4" w:space="0"/>
            </w:tcBorders>
            <w:vAlign w:val="center"/>
          </w:tcPr>
          <w:p w14:paraId="0E219F4E">
            <w:pPr>
              <w:widowControl/>
              <w:spacing w:line="240" w:lineRule="exact"/>
              <w:jc w:val="left"/>
              <w:rPr>
                <w:kern w:val="0"/>
                <w:sz w:val="18"/>
                <w:szCs w:val="18"/>
              </w:rPr>
            </w:pPr>
          </w:p>
        </w:tc>
        <w:tc>
          <w:tcPr>
            <w:tcW w:w="1063" w:type="pct"/>
            <w:tcBorders>
              <w:top w:val="nil"/>
              <w:left w:val="nil"/>
              <w:bottom w:val="single" w:color="auto" w:sz="4" w:space="0"/>
              <w:right w:val="single" w:color="auto" w:sz="4" w:space="0"/>
            </w:tcBorders>
            <w:shd w:val="clear" w:color="auto" w:fill="auto"/>
            <w:noWrap/>
            <w:vAlign w:val="center"/>
          </w:tcPr>
          <w:p w14:paraId="3AE92204">
            <w:pPr>
              <w:widowControl/>
              <w:spacing w:line="240" w:lineRule="exact"/>
              <w:jc w:val="center"/>
              <w:rPr>
                <w:kern w:val="0"/>
                <w:sz w:val="18"/>
                <w:szCs w:val="18"/>
              </w:rPr>
            </w:pPr>
            <w:r>
              <w:rPr>
                <w:rFonts w:hint="eastAsia"/>
                <w:kern w:val="0"/>
                <w:sz w:val="18"/>
                <w:szCs w:val="18"/>
              </w:rPr>
              <w:t>抗渗等级</w:t>
            </w:r>
          </w:p>
        </w:tc>
        <w:tc>
          <w:tcPr>
            <w:tcW w:w="2425" w:type="pct"/>
            <w:gridSpan w:val="3"/>
            <w:tcBorders>
              <w:top w:val="single" w:color="auto" w:sz="4" w:space="0"/>
              <w:left w:val="nil"/>
              <w:bottom w:val="single" w:color="auto" w:sz="4" w:space="0"/>
              <w:right w:val="single" w:color="auto" w:sz="4" w:space="0"/>
            </w:tcBorders>
            <w:shd w:val="clear" w:color="auto" w:fill="auto"/>
            <w:noWrap/>
            <w:vAlign w:val="center"/>
          </w:tcPr>
          <w:p w14:paraId="1CCAD383">
            <w:pPr>
              <w:widowControl/>
              <w:spacing w:line="240" w:lineRule="exact"/>
              <w:jc w:val="center"/>
              <w:rPr>
                <w:kern w:val="0"/>
                <w:sz w:val="18"/>
                <w:szCs w:val="18"/>
              </w:rPr>
            </w:pPr>
            <w:r>
              <w:rPr>
                <w:rFonts w:hint="eastAsia"/>
                <w:kern w:val="0"/>
                <w:sz w:val="18"/>
                <w:szCs w:val="18"/>
              </w:rPr>
              <w:t>≥</w:t>
            </w:r>
            <w:r>
              <w:rPr>
                <w:kern w:val="0"/>
                <w:sz w:val="18"/>
                <w:szCs w:val="18"/>
              </w:rPr>
              <w:t>W8</w:t>
            </w:r>
          </w:p>
        </w:tc>
      </w:tr>
    </w:tbl>
    <w:p w14:paraId="4BD71B23">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4.2.1.5　渠床土质渗透性强、地下水位相对较低、输水渗漏损失严重的渠道，宜采取防渗措施。河（湖）灌区以输水功能为主的主干渠道，常水位以下宜采用衬砌防渗，常水位至设计水位宜采用生态防渗技术，设计水位以上宜采用草皮护坡。对于灌排结合的输配水沟渠，兼有灌溉输配水、排洪排涝排渍和雨洪补源的功能，渠道不宜衬砌，但对于水流变化较急、易坍塌的危险沟、渠段，可进行衬砌加固。</w:t>
      </w:r>
    </w:p>
    <w:p w14:paraId="1638E17D">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4.2.1.6　渠道防渗衬砌工程相关技术参数参照GB/T 50600执行。</w:t>
      </w:r>
    </w:p>
    <w:p w14:paraId="1F2F2EBC">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4.2.2　管道输水灌溉工程</w:t>
      </w:r>
    </w:p>
    <w:p w14:paraId="7020B038">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4.2.2.1　管道系统结构类型应采用开敞式管道输水灌溉系统、半封闭式管道输水灌溉系统或全封闭式管道输水灌溉系统。管道系统类型及管网布置形式应根据水源位置、地形地貌、田间灌溉型式等合理确定。</w:t>
      </w:r>
    </w:p>
    <w:p w14:paraId="311550F3">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4.2.2.2　给水栓应结构合理、坚固耐用、密封性好、操作灵活、运行管理方便、水利性能好。</w:t>
      </w:r>
    </w:p>
    <w:p w14:paraId="19CF56D1">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4.2.2.3　管道输水灌溉工程相关技术参数参照GB/T 20203执行。</w:t>
      </w:r>
    </w:p>
    <w:p w14:paraId="42424FEA">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4.2.3　微灌工程</w:t>
      </w:r>
    </w:p>
    <w:p w14:paraId="0500A27F">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4.2.3.1　微喷灌工程宜采取连片开发、整体设计、分期实施的方式，形成具有适度规模的微喷灌系统。</w:t>
      </w:r>
    </w:p>
    <w:p w14:paraId="0466977D">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4.2.3.2　微喷灌工程应优先考虑经济作物、园林绿地及蔬菜、果树、花卉等高附加值的作物，灌溉水源缺乏的地区、高扬程提水灌区、受土壤或地形限制难以实施地面灌溉的地区和有自压喷灌条件的地区，集中连片作物种植区及技术水平较高的地区。</w:t>
      </w:r>
    </w:p>
    <w:p w14:paraId="6ECE5679">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4.2.3.3　微喷灌系统宜与农业适度规模经营协调一致。有条件时，微喷灌系统可与乡镇供水相结合。宜配套施肥设施设备，实行水肥(药)一体化灌溉。</w:t>
      </w:r>
    </w:p>
    <w:p w14:paraId="7CD84568">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4.2.3.4　微喷灌工程相关技术参数应参照GB/T 50485、GB/T 50085执行。</w:t>
      </w:r>
    </w:p>
    <w:p w14:paraId="0FEBA4E4">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4.2.3.5　滴灌区范围应综合考虑水源、可供水量、地形、土壤条件，根据计划灌溉的果树确定灌溉面积。</w:t>
      </w:r>
    </w:p>
    <w:p w14:paraId="5E2166EA">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4.2.3.6　管网布置应根据地形、果树种类、株行距、管理方便和工程造价等因素，通过方案比较确定。对主要管线进行合理布设，对管材和管径进行比选。条件允许时滴灌系统可采用自动控制系统。</w:t>
      </w:r>
    </w:p>
    <w:p w14:paraId="4275FFAA">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4.2.4　地面灌工程</w:t>
      </w:r>
    </w:p>
    <w:p w14:paraId="43DE02BC">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4.2.4.1　地面灌工程主要包括沟灌、畦灌、淹灌。宽行距旱作物宜采用沟灌；密植作物、牧草及蔬菜宜采用畦灌；水稻宜采用淹灌。</w:t>
      </w:r>
    </w:p>
    <w:p w14:paraId="371BC84E">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4.2.4.2　畦灌、沟灌相关技术参数见附录A表A.1、表A.2。</w:t>
      </w:r>
    </w:p>
    <w:p w14:paraId="3FE0224A">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4.2.4.3　水稻可采用控制灌溉。控制灌溉应符合下列规定：</w:t>
      </w:r>
    </w:p>
    <w:p w14:paraId="14905571">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a)</w:t>
      </w:r>
      <w:r>
        <w:rPr>
          <w:rFonts w:hint="eastAsia" w:ascii="Times New Roman" w:hAnsi="Times New Roman" w:cs="Times New Roman"/>
          <w:sz w:val="21"/>
        </w:rPr>
        <w:tab/>
      </w:r>
      <w:r>
        <w:rPr>
          <w:rFonts w:hint="eastAsia" w:ascii="Times New Roman" w:hAnsi="Times New Roman" w:cs="Times New Roman"/>
          <w:sz w:val="21"/>
        </w:rPr>
        <w:t>插秧至返青期应浅水勤灌，保持薄水；</w:t>
      </w:r>
    </w:p>
    <w:p w14:paraId="002A7A64">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b)</w:t>
      </w:r>
      <w:r>
        <w:rPr>
          <w:rFonts w:hint="eastAsia" w:ascii="Times New Roman" w:hAnsi="Times New Roman" w:cs="Times New Roman"/>
          <w:sz w:val="21"/>
        </w:rPr>
        <w:tab/>
      </w:r>
      <w:r>
        <w:rPr>
          <w:rFonts w:hint="eastAsia" w:ascii="Times New Roman" w:hAnsi="Times New Roman" w:cs="Times New Roman"/>
          <w:sz w:val="21"/>
        </w:rPr>
        <w:t>分蘖前期应浅湿交替灌溉，田面保持湿润；</w:t>
      </w:r>
    </w:p>
    <w:p w14:paraId="78A5F37D">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c)</w:t>
      </w:r>
      <w:r>
        <w:rPr>
          <w:rFonts w:hint="eastAsia" w:ascii="Times New Roman" w:hAnsi="Times New Roman" w:cs="Times New Roman"/>
          <w:sz w:val="21"/>
        </w:rPr>
        <w:tab/>
      </w:r>
      <w:r>
        <w:rPr>
          <w:rFonts w:hint="eastAsia" w:ascii="Times New Roman" w:hAnsi="Times New Roman" w:cs="Times New Roman"/>
          <w:sz w:val="21"/>
        </w:rPr>
        <w:t>分蘖后期落干晒田，阴雨天、地肥、苗势旺及低洼田重晒，高位、沙质土田应轻晒；</w:t>
      </w:r>
    </w:p>
    <w:p w14:paraId="117B0637">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d)</w:t>
      </w:r>
      <w:r>
        <w:rPr>
          <w:rFonts w:hint="eastAsia" w:ascii="Times New Roman" w:hAnsi="Times New Roman" w:cs="Times New Roman"/>
          <w:sz w:val="21"/>
        </w:rPr>
        <w:tab/>
      </w:r>
      <w:r>
        <w:rPr>
          <w:rFonts w:hint="eastAsia" w:ascii="Times New Roman" w:hAnsi="Times New Roman" w:cs="Times New Roman"/>
          <w:sz w:val="21"/>
        </w:rPr>
        <w:t>拔节孕穗期及时灌溉，田面保持浅水层；</w:t>
      </w:r>
    </w:p>
    <w:p w14:paraId="37AA1AF6">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e)</w:t>
      </w:r>
      <w:r>
        <w:rPr>
          <w:rFonts w:hint="eastAsia" w:ascii="Times New Roman" w:hAnsi="Times New Roman" w:cs="Times New Roman"/>
          <w:sz w:val="21"/>
        </w:rPr>
        <w:tab/>
      </w:r>
      <w:r>
        <w:rPr>
          <w:rFonts w:hint="eastAsia" w:ascii="Times New Roman" w:hAnsi="Times New Roman" w:cs="Times New Roman"/>
          <w:sz w:val="21"/>
        </w:rPr>
        <w:t>黄熟期湿润落干，遇雨及时排除田面积水。</w:t>
      </w:r>
    </w:p>
    <w:p w14:paraId="13D924F0">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 xml:space="preserve">4.2.5　计量器具 </w:t>
      </w:r>
    </w:p>
    <w:p w14:paraId="0C6ACF4D">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4.2.5.1　灌溉渠道系统宜采用流速仪量水、标准断面法量水、渠系建筑物量水、量水槽量水等方法。</w:t>
      </w:r>
    </w:p>
    <w:p w14:paraId="789F74B7">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4.2.5.2　输水管道等宜采用管道流量计计量。</w:t>
      </w:r>
    </w:p>
    <w:p w14:paraId="0D6970B0">
      <w:pPr>
        <w:pStyle w:val="13"/>
        <w:adjustRightInd w:val="0"/>
        <w:snapToGrid w:val="0"/>
        <w:spacing w:before="0" w:beforeAutospacing="0" w:after="0" w:afterAutospacing="0" w:line="360" w:lineRule="auto"/>
        <w:jc w:val="both"/>
        <w:rPr>
          <w:rFonts w:ascii="Times New Roman" w:hAnsi="Times New Roman" w:cs="Times New Roman"/>
          <w:sz w:val="21"/>
        </w:rPr>
      </w:pPr>
      <w:r>
        <w:rPr>
          <w:rFonts w:hint="eastAsia" w:ascii="Times New Roman" w:hAnsi="Times New Roman" w:cs="Times New Roman"/>
          <w:sz w:val="21"/>
        </w:rPr>
        <w:t>4.2.5.3　量水相关参数应满足GB/T 21303要求。</w:t>
      </w:r>
    </w:p>
    <w:p w14:paraId="14685611">
      <w:pPr>
        <w:pStyle w:val="22"/>
        <w:numPr>
          <w:ilvl w:val="0"/>
          <w:numId w:val="7"/>
        </w:numPr>
        <w:spacing w:before="156" w:beforeLines="50" w:after="156" w:afterLines="50" w:line="440" w:lineRule="exact"/>
        <w:ind w:firstLineChars="0"/>
        <w:outlineLvl w:val="1"/>
        <w:rPr>
          <w:rFonts w:eastAsia="黑体"/>
          <w:b/>
          <w:bCs/>
          <w:sz w:val="28"/>
        </w:rPr>
      </w:pPr>
      <w:bookmarkStart w:id="28" w:name="_Toc174890616"/>
      <w:r>
        <w:rPr>
          <w:rFonts w:hint="eastAsia" w:eastAsia="黑体"/>
          <w:b/>
          <w:bCs/>
          <w:sz w:val="28"/>
        </w:rPr>
        <w:t>节水管理</w:t>
      </w:r>
      <w:bookmarkEnd w:id="28"/>
    </w:p>
    <w:p w14:paraId="21D72A3D">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5.1　组织建设管理</w:t>
      </w:r>
    </w:p>
    <w:p w14:paraId="567C3489">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5.1.1　应开展规划、新建、续建灌区节水评价，落实节水方案与保障措施。</w:t>
      </w:r>
    </w:p>
    <w:p w14:paraId="75F84575">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5.1.2　应成立灌区专职节水管理机构，有专职管理人员，岗位责任明确。</w:t>
      </w:r>
    </w:p>
    <w:p w14:paraId="508D839A">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5.1.3　应制定灌区节约用水制度。节约用水制度应包含管理岗位责任、加强灌区用水总量控制和定额管理、计量和统计管理、用水巡查及设施维修、节水宣传、用水档案管理、奖惩方面的内容。</w:t>
      </w:r>
    </w:p>
    <w:p w14:paraId="5FFE8C93">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5.2　取水许可管理</w:t>
      </w:r>
    </w:p>
    <w:p w14:paraId="4363D73E">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5.2.1　取用江河、湖泊、水库或者地下取用水资源的灌区，应当向水行政主管部门申领取水许可证，按照取水许可规定条件取水。</w:t>
      </w:r>
    </w:p>
    <w:p w14:paraId="68453851">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5.2.2　取水灌区应加强专管巡管，开展对许可审批人员的日常培训，并落实相关节水管理制度、健全统计台账，水行政主管部门应当加强取水许可用水的指导、协调，建立重点用水单位监控名录，监督取水灌区建立健全统计台帐，实施用水在线监控和动态管理。</w:t>
      </w:r>
    </w:p>
    <w:p w14:paraId="428E709D">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5.3　计划用水管理</w:t>
      </w:r>
    </w:p>
    <w:p w14:paraId="6D83142B">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5.3.1　用水计划申请</w:t>
      </w:r>
    </w:p>
    <w:p w14:paraId="58A9AD5B">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5.3.1.1　灌区用水户应按照《计划用水管理办法》、《江苏省计划用水管理办法》及宿迁市计划用水管理要求及时向县级以上地方人民政府水行政主管部门申报用水计划。</w:t>
      </w:r>
    </w:p>
    <w:p w14:paraId="006C6018">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5.3.1.2　灌区用水计划申报材料应包括年度用水计划建议、用水情况总结等。用水户应依据控制灌溉面积及作物种植结构计划，按照不同作物用水定额、近三年农业用水总量，提出用水计划建议。</w:t>
      </w:r>
    </w:p>
    <w:p w14:paraId="58AF18A3">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5.3.1.3　灌溉期间，灌区各镇用水专业合作组织应根据镇域范围内不同取水水源各计量单元灌域农作物用水、需水情况，向灌溉供水管理单位申报各计量单元阶段性（月、旬度）用水计划。</w:t>
      </w:r>
    </w:p>
    <w:p w14:paraId="50510D97">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5.3.2　用水计划分解、执行</w:t>
      </w:r>
    </w:p>
    <w:p w14:paraId="50834022">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5.3.2.1　水行政主管部门宜根据灌区年度用水计划建议、申请文件核定并批准用水计划。</w:t>
      </w:r>
    </w:p>
    <w:p w14:paraId="56402FDE">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5.3.2.2　灌区用水户应当将水行政主管部门下达的用水计划及时分解落实，并加强内部用水考核，不得突破用水计划。</w:t>
      </w:r>
    </w:p>
    <w:p w14:paraId="7779377B">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5.3.3　用水计划调整</w:t>
      </w:r>
    </w:p>
    <w:p w14:paraId="00524FBD">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5.3.3.1　灌区因种植结构和灌溉面积等变化需要调整年计划用水总量的，应当向水行政主管部门提出调整建议，并提交计划用水总量增减原因的说明和相关证明材料。</w:t>
      </w:r>
    </w:p>
    <w:p w14:paraId="70C9C86B">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5.3.3.2　灌区用水总量超计划用水</w:t>
      </w:r>
      <w:r>
        <w:rPr>
          <w:rFonts w:hint="eastAsia" w:ascii="Times New Roman" w:hAnsi="Times New Roman" w:cs="Times New Roman"/>
          <w:sz w:val="21"/>
          <w:highlight w:val="none"/>
        </w:rPr>
        <w:t>30%</w:t>
      </w:r>
      <w:r>
        <w:rPr>
          <w:rFonts w:hint="eastAsia" w:ascii="Times New Roman" w:hAnsi="Times New Roman" w:cs="Times New Roman"/>
          <w:sz w:val="21"/>
        </w:rPr>
        <w:t>以上的，水行政主管部门应当对其开展用水审计，查找超计划用水原因，制定节约用水方案和措施，并对存在问题限期进行整改。</w:t>
      </w:r>
    </w:p>
    <w:p w14:paraId="081AAB02">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5.4　定额用水管理</w:t>
      </w:r>
    </w:p>
    <w:p w14:paraId="021F3071">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5.4.1　应对灌区用水量及相应的用水定额进行检查，灌区宜按照先进定额进行考核管理。</w:t>
      </w:r>
    </w:p>
    <w:p w14:paraId="019201D2">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5.4.2　</w:t>
      </w:r>
      <w:r>
        <w:rPr>
          <w:rFonts w:hint="eastAsia" w:ascii="Times New Roman" w:hAnsi="Times New Roman" w:cs="Times New Roman"/>
          <w:sz w:val="21"/>
          <w:highlight w:val="none"/>
        </w:rPr>
        <w:t>宜利用信息化平台做好灌区的取用水信息的填报、分析、汇总等各项工作。</w:t>
      </w:r>
    </w:p>
    <w:p w14:paraId="595C938E">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5.5　用水统计管理</w:t>
      </w:r>
    </w:p>
    <w:p w14:paraId="4F959D40">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5.5.1　灌区用水原始记录和统计台账应完整可信、量测水设施满足测量精度要求。</w:t>
      </w:r>
    </w:p>
    <w:p w14:paraId="39BE71D9">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5.5.2　宜利用“苏灌通信息管理平台”做好灌区的取用水信息的填报、分析、汇总等各项工作。</w:t>
      </w:r>
    </w:p>
    <w:p w14:paraId="5A226440">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5.6　节水宣传管理</w:t>
      </w:r>
    </w:p>
    <w:p w14:paraId="501AB29E">
      <w:pPr>
        <w:pStyle w:val="13"/>
        <w:adjustRightInd w:val="0"/>
        <w:snapToGrid w:val="0"/>
        <w:spacing w:before="0" w:beforeAutospacing="0" w:after="0" w:afterAutospacing="0" w:line="360" w:lineRule="auto"/>
        <w:rPr>
          <w:rFonts w:ascii="Times New Roman" w:hAnsi="Times New Roman" w:cs="Times New Roman"/>
          <w:sz w:val="21"/>
          <w:highlight w:val="none"/>
        </w:rPr>
      </w:pPr>
      <w:r>
        <w:rPr>
          <w:rFonts w:hint="eastAsia" w:ascii="Times New Roman" w:hAnsi="Times New Roman" w:cs="Times New Roman"/>
          <w:sz w:val="21"/>
          <w:highlight w:val="none"/>
        </w:rPr>
        <w:t>5.</w:t>
      </w:r>
      <w:r>
        <w:rPr>
          <w:rFonts w:ascii="Times New Roman" w:hAnsi="Times New Roman" w:cs="Times New Roman"/>
          <w:sz w:val="21"/>
          <w:highlight w:val="none"/>
        </w:rPr>
        <w:t>6</w:t>
      </w:r>
      <w:r>
        <w:rPr>
          <w:rFonts w:hint="eastAsia" w:ascii="Times New Roman" w:hAnsi="Times New Roman" w:cs="Times New Roman"/>
          <w:sz w:val="21"/>
          <w:highlight w:val="none"/>
        </w:rPr>
        <w:t>.1　</w:t>
      </w:r>
      <w:r>
        <w:rPr>
          <w:rFonts w:hint="eastAsia"/>
          <w:highlight w:val="none"/>
        </w:rPr>
        <w:t xml:space="preserve"> </w:t>
      </w:r>
      <w:r>
        <w:rPr>
          <w:rFonts w:hint="eastAsia" w:ascii="Times New Roman" w:hAnsi="Times New Roman" w:cs="Times New Roman"/>
          <w:sz w:val="21"/>
          <w:highlight w:val="none"/>
        </w:rPr>
        <w:t>灌区应充分利用新闻媒体、灌排工程设施等，宣传普及节水知识，积极开展群众性节水宣传活动。</w:t>
      </w:r>
    </w:p>
    <w:p w14:paraId="1CFCAB09">
      <w:pPr>
        <w:pStyle w:val="13"/>
        <w:adjustRightInd w:val="0"/>
        <w:snapToGrid w:val="0"/>
        <w:spacing w:before="0" w:beforeAutospacing="0" w:after="0" w:afterAutospacing="0" w:line="360" w:lineRule="auto"/>
        <w:jc w:val="both"/>
        <w:rPr>
          <w:rFonts w:hint="eastAsia" w:ascii="Times New Roman" w:hAnsi="Times New Roman" w:cs="Times New Roman"/>
          <w:sz w:val="21"/>
          <w:highlight w:val="none"/>
        </w:rPr>
      </w:pPr>
      <w:r>
        <w:rPr>
          <w:rFonts w:hint="eastAsia" w:ascii="Times New Roman" w:hAnsi="Times New Roman" w:cs="Times New Roman"/>
          <w:sz w:val="21"/>
          <w:highlight w:val="none"/>
        </w:rPr>
        <w:t>5.</w:t>
      </w:r>
      <w:r>
        <w:rPr>
          <w:rFonts w:ascii="Times New Roman" w:hAnsi="Times New Roman" w:cs="Times New Roman"/>
          <w:sz w:val="21"/>
          <w:highlight w:val="none"/>
        </w:rPr>
        <w:t>6</w:t>
      </w:r>
      <w:r>
        <w:rPr>
          <w:rFonts w:hint="eastAsia" w:ascii="Times New Roman" w:hAnsi="Times New Roman" w:cs="Times New Roman"/>
          <w:sz w:val="21"/>
          <w:highlight w:val="none"/>
        </w:rPr>
        <w:t>.2　灌区应定期开展群众节水主题讲座和培训。</w:t>
      </w:r>
    </w:p>
    <w:p w14:paraId="0538B20A">
      <w:pPr>
        <w:pStyle w:val="13"/>
        <w:adjustRightInd w:val="0"/>
        <w:snapToGrid w:val="0"/>
        <w:spacing w:before="0" w:beforeAutospacing="0" w:after="0" w:afterAutospacing="0" w:line="360" w:lineRule="auto"/>
        <w:rPr>
          <w:rFonts w:ascii="Times New Roman" w:hAnsi="Times New Roman" w:cs="Times New Roman"/>
          <w:sz w:val="21"/>
          <w:highlight w:val="none"/>
        </w:rPr>
      </w:pPr>
      <w:r>
        <w:rPr>
          <w:rFonts w:hint="eastAsia" w:ascii="Times New Roman" w:hAnsi="Times New Roman" w:cs="Times New Roman"/>
          <w:sz w:val="21"/>
          <w:highlight w:val="none"/>
        </w:rPr>
        <w:t>5.7　监督检查管理</w:t>
      </w:r>
    </w:p>
    <w:p w14:paraId="6B12E054">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highlight w:val="none"/>
        </w:rPr>
        <w:t>5.7.1　水行政主管部门应当通过定期与不定期开展检查、调查等方式，加强</w:t>
      </w:r>
      <w:r>
        <w:rPr>
          <w:rFonts w:hint="eastAsia" w:ascii="Times New Roman" w:hAnsi="Times New Roman" w:cs="Times New Roman"/>
          <w:sz w:val="21"/>
        </w:rPr>
        <w:t>对灌区用水户的监督管理。</w:t>
      </w:r>
    </w:p>
    <w:p w14:paraId="4E34E748">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5.7.2　灌区监督现场检查台账内容应包括：</w:t>
      </w:r>
    </w:p>
    <w:p w14:paraId="5E999D3B">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a)</w:t>
      </w:r>
      <w:r>
        <w:rPr>
          <w:rFonts w:hint="eastAsia" w:ascii="Times New Roman" w:hAnsi="Times New Roman" w:cs="Times New Roman"/>
          <w:sz w:val="21"/>
        </w:rPr>
        <w:tab/>
      </w:r>
      <w:r>
        <w:rPr>
          <w:rFonts w:hint="eastAsia" w:ascii="Times New Roman" w:hAnsi="Times New Roman" w:cs="Times New Roman"/>
          <w:sz w:val="21"/>
        </w:rPr>
        <w:t>水资源论证报告书、取水许可申请书、取水许可证等取水许可有关材料；</w:t>
      </w:r>
    </w:p>
    <w:p w14:paraId="4631C5BD">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b)</w:t>
      </w:r>
      <w:r>
        <w:rPr>
          <w:rFonts w:hint="eastAsia" w:ascii="Times New Roman" w:hAnsi="Times New Roman" w:cs="Times New Roman"/>
          <w:sz w:val="21"/>
        </w:rPr>
        <w:tab/>
      </w:r>
      <w:r>
        <w:rPr>
          <w:rFonts w:hint="eastAsia" w:ascii="Times New Roman" w:hAnsi="Times New Roman" w:cs="Times New Roman"/>
          <w:sz w:val="21"/>
        </w:rPr>
        <w:t>水费缴纳发票或收据；</w:t>
      </w:r>
    </w:p>
    <w:p w14:paraId="7E7BAD50">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c)</w:t>
      </w:r>
      <w:r>
        <w:rPr>
          <w:rFonts w:hint="eastAsia" w:ascii="Times New Roman" w:hAnsi="Times New Roman" w:cs="Times New Roman"/>
          <w:sz w:val="21"/>
        </w:rPr>
        <w:tab/>
      </w:r>
      <w:r>
        <w:rPr>
          <w:rFonts w:hint="eastAsia" w:ascii="Times New Roman" w:hAnsi="Times New Roman" w:cs="Times New Roman"/>
          <w:sz w:val="21"/>
        </w:rPr>
        <w:t>近3年取水计划申请审批表和上年度取水总结；</w:t>
      </w:r>
    </w:p>
    <w:p w14:paraId="69B4C51B">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d)</w:t>
      </w:r>
      <w:r>
        <w:rPr>
          <w:rFonts w:hint="eastAsia" w:ascii="Times New Roman" w:hAnsi="Times New Roman" w:cs="Times New Roman"/>
          <w:sz w:val="21"/>
        </w:rPr>
        <w:tab/>
      </w:r>
      <w:r>
        <w:rPr>
          <w:rFonts w:hint="eastAsia" w:ascii="Times New Roman" w:hAnsi="Times New Roman" w:cs="Times New Roman"/>
          <w:sz w:val="21"/>
        </w:rPr>
        <w:t>近3年取、用水台账；</w:t>
      </w:r>
    </w:p>
    <w:p w14:paraId="56FA7E24">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e)</w:t>
      </w:r>
      <w:r>
        <w:rPr>
          <w:rFonts w:hint="eastAsia" w:ascii="Times New Roman" w:hAnsi="Times New Roman" w:cs="Times New Roman"/>
          <w:sz w:val="21"/>
        </w:rPr>
        <w:tab/>
      </w:r>
      <w:r>
        <w:rPr>
          <w:rFonts w:hint="eastAsia" w:ascii="Times New Roman" w:hAnsi="Times New Roman" w:cs="Times New Roman"/>
          <w:sz w:val="21"/>
        </w:rPr>
        <w:t>节水管理制度等各种文件。</w:t>
      </w:r>
    </w:p>
    <w:p w14:paraId="62C6030B">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5.7.3　灌区监督检查现场实地查看内容应包括：</w:t>
      </w:r>
    </w:p>
    <w:p w14:paraId="616FA046">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a)</w:t>
      </w:r>
      <w:r>
        <w:rPr>
          <w:rFonts w:hint="eastAsia" w:ascii="Times New Roman" w:hAnsi="Times New Roman" w:cs="Times New Roman"/>
          <w:sz w:val="21"/>
        </w:rPr>
        <w:tab/>
      </w:r>
      <w:r>
        <w:rPr>
          <w:rFonts w:hint="eastAsia" w:ascii="Times New Roman" w:hAnsi="Times New Roman" w:cs="Times New Roman"/>
          <w:sz w:val="21"/>
        </w:rPr>
        <w:t>用水、退水计量设施布置、运行和分水源、分用途、分灌片（作物）计量状况；</w:t>
      </w:r>
    </w:p>
    <w:p w14:paraId="1264911F">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b)</w:t>
      </w:r>
      <w:r>
        <w:rPr>
          <w:rFonts w:hint="eastAsia" w:ascii="Times New Roman" w:hAnsi="Times New Roman" w:cs="Times New Roman"/>
          <w:sz w:val="21"/>
        </w:rPr>
        <w:tab/>
      </w:r>
      <w:r>
        <w:rPr>
          <w:rFonts w:hint="eastAsia" w:ascii="Times New Roman" w:hAnsi="Times New Roman" w:cs="Times New Roman"/>
          <w:sz w:val="21"/>
        </w:rPr>
        <w:t>节水宣传情况（节水标识标语、节水横幅、新媒体宣传等）；</w:t>
      </w:r>
    </w:p>
    <w:p w14:paraId="3720171F">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c)</w:t>
      </w:r>
      <w:r>
        <w:rPr>
          <w:rFonts w:hint="eastAsia" w:ascii="Times New Roman" w:hAnsi="Times New Roman" w:cs="Times New Roman"/>
          <w:sz w:val="21"/>
        </w:rPr>
        <w:tab/>
      </w:r>
      <w:r>
        <w:rPr>
          <w:rFonts w:hint="eastAsia" w:ascii="Times New Roman" w:hAnsi="Times New Roman" w:cs="Times New Roman"/>
          <w:sz w:val="21"/>
        </w:rPr>
        <w:t>主要用水场所节水设备、器具安装利用及漏损情况；</w:t>
      </w:r>
    </w:p>
    <w:p w14:paraId="6523D754">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d)</w:t>
      </w:r>
      <w:r>
        <w:rPr>
          <w:rFonts w:hint="eastAsia" w:ascii="Times New Roman" w:hAnsi="Times New Roman" w:cs="Times New Roman"/>
          <w:sz w:val="21"/>
        </w:rPr>
        <w:tab/>
      </w:r>
      <w:r>
        <w:rPr>
          <w:rFonts w:hint="eastAsia" w:ascii="Times New Roman" w:hAnsi="Times New Roman" w:cs="Times New Roman"/>
          <w:sz w:val="21"/>
        </w:rPr>
        <w:t>节水工程设施建设、运营情况；</w:t>
      </w:r>
    </w:p>
    <w:p w14:paraId="2B088DE7">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e)</w:t>
      </w:r>
      <w:r>
        <w:rPr>
          <w:rFonts w:hint="eastAsia" w:ascii="Times New Roman" w:hAnsi="Times New Roman" w:cs="Times New Roman"/>
          <w:sz w:val="21"/>
        </w:rPr>
        <w:tab/>
      </w:r>
      <w:r>
        <w:rPr>
          <w:rFonts w:hint="eastAsia" w:ascii="Times New Roman" w:hAnsi="Times New Roman" w:cs="Times New Roman"/>
          <w:sz w:val="21"/>
        </w:rPr>
        <w:t>雨水等非常规水源利用情况；</w:t>
      </w:r>
    </w:p>
    <w:p w14:paraId="0238AF56">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f)</w:t>
      </w:r>
      <w:r>
        <w:rPr>
          <w:rFonts w:hint="eastAsia" w:ascii="Times New Roman" w:hAnsi="Times New Roman" w:cs="Times New Roman"/>
          <w:sz w:val="21"/>
        </w:rPr>
        <w:tab/>
      </w:r>
      <w:r>
        <w:rPr>
          <w:rFonts w:hint="eastAsia" w:ascii="Times New Roman" w:hAnsi="Times New Roman" w:cs="Times New Roman"/>
          <w:sz w:val="21"/>
        </w:rPr>
        <w:t>节水新工艺、新技术、新设备引进情况。</w:t>
      </w:r>
    </w:p>
    <w:p w14:paraId="53AB369B">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5.8　节水宣传管理</w:t>
      </w:r>
    </w:p>
    <w:p w14:paraId="6A5AB346">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5.8.1　灌区应充分利用新闻媒体、灌排工程设施等，宣传普及节水知识，年度开展群众性节水宣传次数不少于4次。</w:t>
      </w:r>
    </w:p>
    <w:p w14:paraId="517162A4">
      <w:pPr>
        <w:pStyle w:val="13"/>
        <w:adjustRightInd w:val="0"/>
        <w:snapToGrid w:val="0"/>
        <w:spacing w:before="0" w:beforeAutospacing="0" w:after="0" w:afterAutospacing="0" w:line="360" w:lineRule="auto"/>
        <w:jc w:val="both"/>
        <w:rPr>
          <w:rFonts w:ascii="Times New Roman" w:hAnsi="Times New Roman" w:cs="Times New Roman"/>
          <w:sz w:val="21"/>
        </w:rPr>
      </w:pPr>
      <w:r>
        <w:rPr>
          <w:rFonts w:hint="eastAsia" w:ascii="Times New Roman" w:hAnsi="Times New Roman" w:cs="Times New Roman"/>
          <w:sz w:val="21"/>
        </w:rPr>
        <w:t>5.8.2　灌区应定期开展群众节水主题讲座和培训，年度不少于4次</w:t>
      </w:r>
    </w:p>
    <w:p w14:paraId="05E2040D">
      <w:pPr>
        <w:pStyle w:val="22"/>
        <w:numPr>
          <w:ilvl w:val="0"/>
          <w:numId w:val="7"/>
        </w:numPr>
        <w:spacing w:before="156" w:beforeLines="50" w:after="156" w:afterLines="50" w:line="440" w:lineRule="exact"/>
        <w:ind w:firstLineChars="0"/>
        <w:outlineLvl w:val="1"/>
        <w:rPr>
          <w:rFonts w:eastAsia="黑体"/>
          <w:b/>
          <w:bCs/>
          <w:sz w:val="28"/>
        </w:rPr>
      </w:pPr>
      <w:bookmarkStart w:id="29" w:name="_Toc174890617"/>
      <w:r>
        <w:rPr>
          <w:rFonts w:hint="eastAsia" w:eastAsia="黑体"/>
          <w:b/>
          <w:bCs/>
          <w:sz w:val="28"/>
        </w:rPr>
        <w:t>节水评价与效益</w:t>
      </w:r>
      <w:bookmarkEnd w:id="29"/>
    </w:p>
    <w:p w14:paraId="1D201450">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6.1　应注重调查研究和效益跟踪监测（调查表见附录B），对节水灌溉工程实施后效益评价采用的数据资料应翔实可靠。</w:t>
      </w:r>
    </w:p>
    <w:p w14:paraId="72B815A7">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6.2　节水评价应符合国家相关法律法规政策和标准规范，满足用水总量和用水效率管控要求，与江河流域水量分配方案（协议）、相关规划中节水目标相协调，节水措施方案应符合当地实际情况、合理可行。</w:t>
      </w:r>
    </w:p>
    <w:p w14:paraId="1B23AAA5">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6.3　灌区节水效益应包括工程运行后实现的增产以及节水率等综合效益。</w:t>
      </w:r>
    </w:p>
    <w:p w14:paraId="425642E6">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6.4　增产效益应按已发生年份的实际增产量或增产值计算。</w:t>
      </w:r>
    </w:p>
    <w:p w14:paraId="02514BEC">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a)</w:t>
      </w:r>
      <w:r>
        <w:rPr>
          <w:rFonts w:hint="eastAsia" w:ascii="Times New Roman" w:hAnsi="Times New Roman" w:cs="Times New Roman"/>
          <w:sz w:val="21"/>
        </w:rPr>
        <w:tab/>
      </w:r>
      <w:r>
        <w:rPr>
          <w:rFonts w:hint="eastAsia" w:ascii="Times New Roman" w:hAnsi="Times New Roman" w:cs="Times New Roman"/>
          <w:sz w:val="21"/>
        </w:rPr>
        <w:t>农业技术措施基本相同时，主产品与副产品的增产值应等于有、无节水灌溉工程相比所增加的产值，可按本标准附录C公式（C.1)计算；</w:t>
      </w:r>
    </w:p>
    <w:p w14:paraId="03DA5276">
      <w:pPr>
        <w:pStyle w:val="13"/>
        <w:adjustRightInd w:val="0"/>
        <w:snapToGrid w:val="0"/>
        <w:spacing w:before="0" w:beforeAutospacing="0" w:after="0" w:afterAutospacing="0" w:line="360" w:lineRule="auto"/>
        <w:ind w:firstLine="420" w:firstLineChars="200"/>
        <w:rPr>
          <w:rFonts w:ascii="Times New Roman" w:hAnsi="Times New Roman" w:cs="Times New Roman"/>
          <w:sz w:val="21"/>
        </w:rPr>
      </w:pPr>
      <w:r>
        <w:rPr>
          <w:rFonts w:hint="eastAsia" w:ascii="Times New Roman" w:hAnsi="Times New Roman" w:cs="Times New Roman"/>
          <w:sz w:val="21"/>
        </w:rPr>
        <w:t>b)</w:t>
      </w:r>
      <w:r>
        <w:rPr>
          <w:rFonts w:hint="eastAsia" w:ascii="Times New Roman" w:hAnsi="Times New Roman" w:cs="Times New Roman"/>
          <w:sz w:val="21"/>
        </w:rPr>
        <w:tab/>
      </w:r>
      <w:r>
        <w:rPr>
          <w:rFonts w:hint="eastAsia" w:ascii="Times New Roman" w:hAnsi="Times New Roman" w:cs="Times New Roman"/>
          <w:sz w:val="21"/>
        </w:rPr>
        <w:t>农业技术措施不同时，增产值的计算应在公式（C.1）中乘以工程效益分摊系数，其值可参考类似地区的已有成果或依据调查资料分析确定。无资料时，可按0.2~0.6进行估算，丰水年取小值，枯水年取大值。</w:t>
      </w:r>
    </w:p>
    <w:p w14:paraId="699A3569">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6.5　灌区节水效益应按项目实施前后灌溉用水量间的差值进行分析计算，表述为节水量或节水率，可按本标准附录C公式（C.2)计算。</w:t>
      </w:r>
    </w:p>
    <w:p w14:paraId="3C8368A5">
      <w:pPr>
        <w:pStyle w:val="13"/>
        <w:adjustRightInd w:val="0"/>
        <w:snapToGrid w:val="0"/>
        <w:spacing w:before="0" w:beforeAutospacing="0" w:after="0" w:afterAutospacing="0" w:line="360" w:lineRule="auto"/>
        <w:rPr>
          <w:rFonts w:ascii="Times New Roman" w:hAnsi="Times New Roman" w:cs="Times New Roman"/>
          <w:sz w:val="21"/>
        </w:rPr>
      </w:pPr>
      <w:r>
        <w:rPr>
          <w:rFonts w:hint="eastAsia" w:ascii="Times New Roman" w:hAnsi="Times New Roman" w:cs="Times New Roman"/>
          <w:sz w:val="21"/>
        </w:rPr>
        <w:t>6.6　灌区实施节水灌溉工程后，受益区种植业综合生产能力应明显提高，水分生产效率应提高20%以上。</w:t>
      </w:r>
    </w:p>
    <w:p w14:paraId="185251D1">
      <w:pPr>
        <w:pStyle w:val="22"/>
        <w:spacing w:before="156" w:beforeLines="50" w:after="156" w:afterLines="50" w:line="360" w:lineRule="auto"/>
        <w:ind w:firstLine="0" w:firstLineChars="0"/>
        <w:jc w:val="left"/>
        <w:outlineLvl w:val="0"/>
        <w:rPr>
          <w:rFonts w:eastAsia="黑体"/>
          <w:b/>
          <w:sz w:val="32"/>
        </w:rPr>
      </w:pPr>
      <w:bookmarkStart w:id="30" w:name="_Toc174890618"/>
      <w:r>
        <w:rPr>
          <w:rFonts w:hint="eastAsia" w:eastAsia="黑体"/>
          <w:b/>
          <w:sz w:val="32"/>
        </w:rPr>
        <w:t>三、</w:t>
      </w:r>
      <w:r>
        <w:rPr>
          <w:rFonts w:eastAsia="黑体"/>
          <w:b/>
          <w:sz w:val="32"/>
        </w:rPr>
        <w:t>采用国际标准的程度及水平的简要说明</w:t>
      </w:r>
      <w:bookmarkEnd w:id="30"/>
    </w:p>
    <w:p w14:paraId="29198A88">
      <w:pPr>
        <w:pStyle w:val="22"/>
        <w:spacing w:line="360" w:lineRule="auto"/>
        <w:rPr>
          <w:kern w:val="0"/>
        </w:rPr>
      </w:pPr>
      <w:r>
        <w:rPr>
          <w:rFonts w:hint="eastAsia"/>
          <w:kern w:val="0"/>
        </w:rPr>
        <w:t>本标准未采用国际标准，在制定过程中未查到同类国际标准。</w:t>
      </w:r>
    </w:p>
    <w:p w14:paraId="53E44172">
      <w:pPr>
        <w:pStyle w:val="22"/>
        <w:spacing w:line="360" w:lineRule="auto"/>
        <w:rPr>
          <w:kern w:val="0"/>
          <w:sz w:val="24"/>
        </w:rPr>
      </w:pPr>
      <w:r>
        <w:rPr>
          <w:rFonts w:hint="eastAsia"/>
          <w:kern w:val="0"/>
        </w:rPr>
        <w:t>本标准的总体技术水平属于省内领先水平。</w:t>
      </w:r>
    </w:p>
    <w:p w14:paraId="76AF9B89">
      <w:pPr>
        <w:pStyle w:val="22"/>
        <w:spacing w:before="156" w:beforeLines="50" w:after="156" w:afterLines="50" w:line="360" w:lineRule="auto"/>
        <w:ind w:firstLine="0" w:firstLineChars="0"/>
        <w:jc w:val="left"/>
        <w:outlineLvl w:val="0"/>
        <w:rPr>
          <w:rFonts w:eastAsia="黑体"/>
          <w:b/>
          <w:sz w:val="32"/>
        </w:rPr>
      </w:pPr>
      <w:bookmarkStart w:id="31" w:name="_Toc174890619"/>
      <w:r>
        <w:rPr>
          <w:rFonts w:eastAsia="黑体"/>
          <w:b/>
          <w:sz w:val="32"/>
        </w:rPr>
        <w:t>四、重大分歧意见的处理经过和依据</w:t>
      </w:r>
      <w:bookmarkEnd w:id="31"/>
    </w:p>
    <w:p w14:paraId="49EED0E7">
      <w:pPr>
        <w:pStyle w:val="22"/>
        <w:spacing w:line="360" w:lineRule="auto"/>
        <w:rPr>
          <w:kern w:val="0"/>
        </w:rPr>
      </w:pPr>
      <w:r>
        <w:rPr>
          <w:rFonts w:hint="eastAsia"/>
          <w:kern w:val="0"/>
        </w:rPr>
        <w:t>无重大分歧意见。</w:t>
      </w:r>
    </w:p>
    <w:p w14:paraId="69D10AC0">
      <w:pPr>
        <w:pStyle w:val="22"/>
        <w:spacing w:before="156" w:beforeLines="50" w:after="156" w:afterLines="50" w:line="360" w:lineRule="auto"/>
        <w:ind w:firstLine="0" w:firstLineChars="0"/>
        <w:jc w:val="left"/>
        <w:outlineLvl w:val="0"/>
        <w:rPr>
          <w:rFonts w:eastAsia="黑体"/>
          <w:b/>
          <w:sz w:val="32"/>
        </w:rPr>
      </w:pPr>
      <w:bookmarkStart w:id="32" w:name="_Toc174890620"/>
      <w:bookmarkStart w:id="33" w:name="_Toc324944694"/>
      <w:bookmarkStart w:id="34" w:name="_Toc324928496"/>
      <w:r>
        <w:rPr>
          <w:rFonts w:hint="eastAsia" w:eastAsia="黑体"/>
          <w:b/>
          <w:sz w:val="32"/>
        </w:rPr>
        <w:t>五、与有关的现行法律、法规和强制性国家标准的关系</w:t>
      </w:r>
      <w:bookmarkEnd w:id="32"/>
    </w:p>
    <w:p w14:paraId="139669FA">
      <w:pPr>
        <w:pStyle w:val="22"/>
        <w:spacing w:line="360" w:lineRule="auto"/>
        <w:rPr>
          <w:kern w:val="0"/>
        </w:rPr>
      </w:pPr>
      <w:r>
        <w:rPr>
          <w:rFonts w:hint="eastAsia"/>
          <w:kern w:val="0"/>
        </w:rPr>
        <w:t>本标准与相关法律、法规、规章及相关标准协调一致，没有冲突。</w:t>
      </w:r>
    </w:p>
    <w:p w14:paraId="0C6C69D3">
      <w:pPr>
        <w:pStyle w:val="22"/>
        <w:spacing w:line="360" w:lineRule="auto"/>
        <w:rPr>
          <w:kern w:val="0"/>
        </w:rPr>
      </w:pPr>
      <w:r>
        <w:rPr>
          <w:rFonts w:hint="eastAsia"/>
          <w:kern w:val="0"/>
        </w:rPr>
        <w:t>本标准贯彻执行《水法》</w:t>
      </w:r>
      <w:r>
        <w:rPr>
          <w:rFonts w:hint="eastAsia"/>
        </w:rPr>
        <w:t>（2016年7月修订）</w:t>
      </w:r>
      <w:r>
        <w:rPr>
          <w:rFonts w:hint="eastAsia"/>
          <w:kern w:val="0"/>
        </w:rPr>
        <w:t>规定；</w:t>
      </w:r>
    </w:p>
    <w:p w14:paraId="36247A80">
      <w:pPr>
        <w:pStyle w:val="13"/>
        <w:spacing w:before="0" w:beforeAutospacing="0" w:after="0" w:afterAutospacing="0" w:line="360" w:lineRule="auto"/>
        <w:ind w:firstLine="420" w:firstLineChars="200"/>
        <w:jc w:val="both"/>
        <w:rPr>
          <w:rFonts w:ascii="Times New Roman" w:hAnsi="Times New Roman" w:cs="Times New Roman"/>
          <w:sz w:val="21"/>
        </w:rPr>
      </w:pPr>
      <w:r>
        <w:rPr>
          <w:rFonts w:hint="eastAsia" w:ascii="Times New Roman" w:hAnsi="Times New Roman" w:cs="Times New Roman"/>
          <w:sz w:val="21"/>
        </w:rPr>
        <w:t>本技术规范符合《取水许可管理办法》（2017年12月修正）、《江苏省节约用水条例》（2016年5月施行）、《江苏省用水总量控制管理办法》（2016年10月施行）、《省水利厅关于开展江苏省节水型灌区创建工作的通知》（苏水农〔2021〕10号）等文件的相关要求。</w:t>
      </w:r>
    </w:p>
    <w:p w14:paraId="307C58D7">
      <w:pPr>
        <w:pStyle w:val="22"/>
        <w:spacing w:before="156" w:beforeLines="50" w:after="156" w:afterLines="50" w:line="360" w:lineRule="auto"/>
        <w:ind w:firstLine="0" w:firstLineChars="0"/>
        <w:jc w:val="left"/>
        <w:outlineLvl w:val="0"/>
        <w:rPr>
          <w:rFonts w:eastAsia="黑体"/>
          <w:b/>
          <w:sz w:val="32"/>
        </w:rPr>
      </w:pPr>
      <w:bookmarkStart w:id="35" w:name="_Toc174890621"/>
      <w:r>
        <w:rPr>
          <w:rFonts w:hint="eastAsia" w:eastAsia="黑体"/>
          <w:b/>
          <w:sz w:val="32"/>
        </w:rPr>
        <w:t>六、</w:t>
      </w:r>
      <w:r>
        <w:rPr>
          <w:rFonts w:eastAsia="黑体"/>
          <w:b/>
          <w:sz w:val="32"/>
        </w:rPr>
        <w:t>贯彻标准的要求和措施建议</w:t>
      </w:r>
      <w:bookmarkEnd w:id="33"/>
      <w:bookmarkEnd w:id="34"/>
      <w:bookmarkEnd w:id="35"/>
    </w:p>
    <w:p w14:paraId="2D690FDE">
      <w:pPr>
        <w:pStyle w:val="13"/>
        <w:spacing w:before="0" w:beforeAutospacing="0" w:after="0" w:afterAutospacing="0" w:line="360" w:lineRule="auto"/>
        <w:ind w:firstLine="420" w:firstLineChars="200"/>
        <w:jc w:val="both"/>
        <w:rPr>
          <w:rFonts w:ascii="Times New Roman" w:hAnsi="Times New Roman" w:cs="Times New Roman"/>
          <w:sz w:val="21"/>
        </w:rPr>
      </w:pPr>
      <w:r>
        <w:rPr>
          <w:rFonts w:hint="eastAsia" w:ascii="Times New Roman" w:hAnsi="Times New Roman" w:cs="Times New Roman"/>
          <w:sz w:val="21"/>
        </w:rPr>
        <w:t>鉴于本标准为推荐性地方标准，可引领市场及行业向更高要求发展，因此建议在实施过程中可在示范区先试行一段时间，根据试行情况反馈信息，不断修订完善，力争最终形成适用的技术规范，更好的满足江苏省灌区节水的需要。此外，随着经济发展和技术进步及实践经验的积累，根据节水管理的实际需要，标准内容应不断得到完善、拓展、深入和更新，以适应节水标准制修订工作的要求。因此本标准发布后，建议建立相关信息的反馈机制，适时解决标准应用中的问题，及时了解和总结宿迁市灌区节水管理工作新动向，推动标准的贯彻执行。</w:t>
      </w:r>
    </w:p>
    <w:p w14:paraId="3292705F">
      <w:pPr>
        <w:pStyle w:val="22"/>
        <w:spacing w:before="156" w:beforeLines="50" w:after="156" w:afterLines="50" w:line="360" w:lineRule="auto"/>
        <w:ind w:firstLine="0" w:firstLineChars="0"/>
        <w:jc w:val="left"/>
        <w:outlineLvl w:val="0"/>
        <w:rPr>
          <w:rFonts w:eastAsia="黑体"/>
          <w:b/>
          <w:sz w:val="32"/>
        </w:rPr>
      </w:pPr>
      <w:bookmarkStart w:id="36" w:name="_Toc174890622"/>
      <w:r>
        <w:rPr>
          <w:rFonts w:hint="eastAsia" w:eastAsia="黑体"/>
          <w:b/>
          <w:sz w:val="32"/>
        </w:rPr>
        <w:t>七、</w:t>
      </w:r>
      <w:r>
        <w:rPr>
          <w:rFonts w:eastAsia="黑体"/>
          <w:b/>
          <w:sz w:val="32"/>
        </w:rPr>
        <w:t>其它应予说明的事项</w:t>
      </w:r>
      <w:bookmarkEnd w:id="36"/>
    </w:p>
    <w:p w14:paraId="36EDB33F">
      <w:pPr>
        <w:pStyle w:val="22"/>
        <w:spacing w:before="156" w:beforeLines="50" w:after="156" w:afterLines="50" w:line="440" w:lineRule="exact"/>
        <w:rPr>
          <w:kern w:val="0"/>
        </w:rPr>
      </w:pPr>
      <w:r>
        <w:rPr>
          <w:kern w:val="0"/>
        </w:rPr>
        <w:t>无。</w:t>
      </w:r>
    </w:p>
    <w:p w14:paraId="2218387D">
      <w:pPr>
        <w:spacing w:line="360" w:lineRule="auto"/>
        <w:jc w:val="right"/>
        <w:rPr>
          <w:kern w:val="0"/>
        </w:rPr>
      </w:pPr>
    </w:p>
    <w:p w14:paraId="67B9501C">
      <w:pPr>
        <w:spacing w:line="360" w:lineRule="auto"/>
        <w:jc w:val="right"/>
        <w:rPr>
          <w:kern w:val="0"/>
        </w:rPr>
      </w:pPr>
    </w:p>
    <w:p w14:paraId="32A90330">
      <w:pPr>
        <w:spacing w:line="360" w:lineRule="auto"/>
        <w:jc w:val="right"/>
        <w:rPr>
          <w:kern w:val="0"/>
        </w:rPr>
      </w:pPr>
    </w:p>
    <w:p w14:paraId="58023D58">
      <w:pPr>
        <w:spacing w:line="360" w:lineRule="auto"/>
        <w:jc w:val="right"/>
        <w:rPr>
          <w:kern w:val="0"/>
        </w:rPr>
      </w:pPr>
      <w:bookmarkStart w:id="37" w:name="_GoBack"/>
      <w:bookmarkEnd w:id="37"/>
      <w:r>
        <w:rPr>
          <w:kern w:val="0"/>
        </w:rPr>
        <w:t>《</w:t>
      </w:r>
      <w:r>
        <w:rPr>
          <w:rFonts w:hint="eastAsia"/>
        </w:rPr>
        <w:t>宿迁市灌区节约用水技术导则</w:t>
      </w:r>
      <w:r>
        <w:rPr>
          <w:kern w:val="0"/>
        </w:rPr>
        <w:t>》编制组</w:t>
      </w:r>
    </w:p>
    <w:p w14:paraId="68F8416B">
      <w:pPr>
        <w:spacing w:line="360" w:lineRule="auto"/>
        <w:jc w:val="right"/>
        <w:rPr>
          <w:kern w:val="0"/>
        </w:rPr>
      </w:pPr>
      <w:r>
        <w:rPr>
          <w:kern w:val="0"/>
        </w:rPr>
        <w:t>202</w:t>
      </w:r>
      <w:r>
        <w:rPr>
          <w:rFonts w:hint="eastAsia"/>
          <w:kern w:val="0"/>
        </w:rPr>
        <w:t>4</w:t>
      </w:r>
      <w:r>
        <w:rPr>
          <w:kern w:val="0"/>
        </w:rPr>
        <w:t>年</w:t>
      </w:r>
      <w:r>
        <w:rPr>
          <w:rFonts w:hint="eastAsia"/>
          <w:kern w:val="0"/>
        </w:rPr>
        <w:t>5</w:t>
      </w:r>
      <w:r>
        <w:rPr>
          <w:kern w:val="0"/>
        </w:rPr>
        <w:t>月</w:t>
      </w:r>
    </w:p>
    <w:p w14:paraId="16F287A8">
      <w:pPr>
        <w:pStyle w:val="29"/>
        <w:ind w:firstLine="630" w:firstLineChars="300"/>
        <w:rPr>
          <w:rFonts w:hAnsi="宋体"/>
        </w:rPr>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42B16">
    <w:pPr>
      <w:pStyle w:val="9"/>
      <w:jc w:val="center"/>
    </w:pPr>
  </w:p>
  <w:p w14:paraId="69B5F60F">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7206401"/>
    </w:sdtPr>
    <w:sdtContent>
      <w:p w14:paraId="0E7E1B48">
        <w:pPr>
          <w:pStyle w:val="9"/>
          <w:jc w:val="center"/>
        </w:pPr>
        <w:r>
          <w:fldChar w:fldCharType="begin"/>
        </w:r>
        <w:r>
          <w:instrText xml:space="preserve">PAGE   \* MERGEFORMAT</w:instrText>
        </w:r>
        <w:r>
          <w:fldChar w:fldCharType="separate"/>
        </w:r>
        <w:r>
          <w:rPr>
            <w:lang w:val="zh-CN"/>
          </w:rPr>
          <w:t>7</w:t>
        </w:r>
        <w:r>
          <w:fldChar w:fldCharType="end"/>
        </w:r>
      </w:p>
    </w:sdtContent>
  </w:sdt>
  <w:p w14:paraId="16E950FB">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DD1466"/>
    <w:multiLevelType w:val="multilevel"/>
    <w:tmpl w:val="05DD1466"/>
    <w:lvl w:ilvl="0" w:tentative="0">
      <w:start w:val="1"/>
      <w:numFmt w:val="decimal"/>
      <w:pStyle w:val="30"/>
      <w:lvlText w:val="%1."/>
      <w:lvlJc w:val="left"/>
      <w:pPr>
        <w:ind w:left="360" w:hanging="360"/>
      </w:pPr>
      <w:rPr>
        <w:rFonts w:hint="default"/>
        <w:strike w:val="0"/>
      </w:rPr>
    </w:lvl>
    <w:lvl w:ilvl="1" w:tentative="0">
      <w:start w:val="1"/>
      <w:numFmt w:val="decimal"/>
      <w:isLgl/>
      <w:lvlText w:val="%1.%2"/>
      <w:lvlJc w:val="left"/>
      <w:pPr>
        <w:ind w:left="780" w:hanging="420"/>
      </w:pPr>
      <w:rPr>
        <w:rFonts w:hint="default"/>
      </w:rPr>
    </w:lvl>
    <w:lvl w:ilvl="2" w:tentative="0">
      <w:start w:val="1"/>
      <w:numFmt w:val="decimal"/>
      <w:isLgl/>
      <w:lvlText w:val="%1.%2.%3"/>
      <w:lvlJc w:val="left"/>
      <w:pPr>
        <w:ind w:left="1440" w:hanging="720"/>
      </w:pPr>
      <w:rPr>
        <w:rFonts w:hint="default"/>
      </w:rPr>
    </w:lvl>
    <w:lvl w:ilvl="3" w:tentative="0">
      <w:start w:val="1"/>
      <w:numFmt w:val="decimal"/>
      <w:isLgl/>
      <w:lvlText w:val="%1.%2.%3.%4"/>
      <w:lvlJc w:val="left"/>
      <w:pPr>
        <w:ind w:left="1800" w:hanging="720"/>
      </w:pPr>
      <w:rPr>
        <w:rFonts w:hint="default"/>
      </w:rPr>
    </w:lvl>
    <w:lvl w:ilvl="4" w:tentative="0">
      <w:start w:val="1"/>
      <w:numFmt w:val="decimal"/>
      <w:isLgl/>
      <w:lvlText w:val="%1.%2.%3.%4.%5"/>
      <w:lvlJc w:val="left"/>
      <w:pPr>
        <w:ind w:left="2520" w:hanging="1080"/>
      </w:pPr>
      <w:rPr>
        <w:rFonts w:hint="default"/>
      </w:rPr>
    </w:lvl>
    <w:lvl w:ilvl="5" w:tentative="0">
      <w:start w:val="1"/>
      <w:numFmt w:val="decimal"/>
      <w:isLgl/>
      <w:lvlText w:val="%1.%2.%3.%4.%5.%6"/>
      <w:lvlJc w:val="left"/>
      <w:pPr>
        <w:ind w:left="2880" w:hanging="1080"/>
      </w:pPr>
      <w:rPr>
        <w:rFonts w:hint="default"/>
      </w:rPr>
    </w:lvl>
    <w:lvl w:ilvl="6" w:tentative="0">
      <w:start w:val="1"/>
      <w:numFmt w:val="decimal"/>
      <w:isLgl/>
      <w:lvlText w:val="%1.%2.%3.%4.%5.%6.%7"/>
      <w:lvlJc w:val="left"/>
      <w:pPr>
        <w:ind w:left="3600" w:hanging="1440"/>
      </w:pPr>
      <w:rPr>
        <w:rFonts w:hint="default"/>
      </w:rPr>
    </w:lvl>
    <w:lvl w:ilvl="7" w:tentative="0">
      <w:start w:val="1"/>
      <w:numFmt w:val="decimal"/>
      <w:isLgl/>
      <w:lvlText w:val="%1.%2.%3.%4.%5.%6.%7.%8"/>
      <w:lvlJc w:val="left"/>
      <w:pPr>
        <w:ind w:left="3960" w:hanging="1440"/>
      </w:pPr>
      <w:rPr>
        <w:rFonts w:hint="default"/>
      </w:rPr>
    </w:lvl>
    <w:lvl w:ilvl="8" w:tentative="0">
      <w:start w:val="1"/>
      <w:numFmt w:val="decimal"/>
      <w:isLgl/>
      <w:lvlText w:val="%1.%2.%3.%4.%5.%6.%7.%8.%9"/>
      <w:lvlJc w:val="left"/>
      <w:pPr>
        <w:ind w:left="4680" w:hanging="1800"/>
      </w:pPr>
      <w:rPr>
        <w:rFonts w:hint="default"/>
      </w:rPr>
    </w:lvl>
  </w:abstractNum>
  <w:abstractNum w:abstractNumId="1">
    <w:nsid w:val="1C535C0A"/>
    <w:multiLevelType w:val="multilevel"/>
    <w:tmpl w:val="1C535C0A"/>
    <w:lvl w:ilvl="0" w:tentative="0">
      <w:start w:val="1"/>
      <w:numFmt w:val="decimal"/>
      <w:lvlText w:val="%1."/>
      <w:lvlJc w:val="left"/>
      <w:pPr>
        <w:ind w:left="360" w:hanging="360"/>
      </w:pPr>
      <w:rPr>
        <w:rFonts w:hint="default"/>
        <w:b/>
      </w:rPr>
    </w:lvl>
    <w:lvl w:ilvl="1" w:tentative="0">
      <w:start w:val="1"/>
      <w:numFmt w:val="decimal"/>
      <w:isLgl/>
      <w:lvlText w:val="%1.%2"/>
      <w:lvlJc w:val="left"/>
      <w:pPr>
        <w:ind w:left="420" w:hanging="420"/>
      </w:pPr>
      <w:rPr>
        <w:rFonts w:hint="default"/>
        <w:b w:val="0"/>
        <w:bCs w:val="0"/>
      </w:rPr>
    </w:lvl>
    <w:lvl w:ilvl="2" w:tentative="0">
      <w:start w:val="1"/>
      <w:numFmt w:val="decimal"/>
      <w:isLgl/>
      <w:lvlText w:val="%1.%2.%3"/>
      <w:lvlJc w:val="left"/>
      <w:pPr>
        <w:ind w:left="720" w:hanging="720"/>
      </w:pPr>
      <w:rPr>
        <w:rFonts w:hint="default" w:ascii="Times New Roman" w:hAnsi="Times New Roman" w:cs="Times New Roman"/>
        <w:b w:val="0"/>
        <w:bCs w:val="0"/>
        <w:sz w:val="21"/>
        <w:szCs w:val="20"/>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2520" w:hanging="1080"/>
      </w:pPr>
      <w:rPr>
        <w:rFonts w:hint="default"/>
      </w:rPr>
    </w:lvl>
    <w:lvl w:ilvl="5" w:tentative="0">
      <w:start w:val="1"/>
      <w:numFmt w:val="decimal"/>
      <w:isLgl/>
      <w:lvlText w:val="%1.%2.%3.%4.%5.%6"/>
      <w:lvlJc w:val="left"/>
      <w:pPr>
        <w:ind w:left="2880" w:hanging="1080"/>
      </w:pPr>
      <w:rPr>
        <w:rFonts w:hint="default"/>
      </w:rPr>
    </w:lvl>
    <w:lvl w:ilvl="6" w:tentative="0">
      <w:start w:val="1"/>
      <w:numFmt w:val="decimal"/>
      <w:isLgl/>
      <w:lvlText w:val="%1.%2.%3.%4.%5.%6.%7"/>
      <w:lvlJc w:val="left"/>
      <w:pPr>
        <w:ind w:left="3600" w:hanging="1440"/>
      </w:pPr>
      <w:rPr>
        <w:rFonts w:hint="default"/>
      </w:rPr>
    </w:lvl>
    <w:lvl w:ilvl="7" w:tentative="0">
      <w:start w:val="1"/>
      <w:numFmt w:val="decimal"/>
      <w:isLgl/>
      <w:lvlText w:val="%1.%2.%3.%4.%5.%6.%7.%8"/>
      <w:lvlJc w:val="left"/>
      <w:pPr>
        <w:ind w:left="3960" w:hanging="1440"/>
      </w:pPr>
      <w:rPr>
        <w:rFonts w:hint="default"/>
      </w:rPr>
    </w:lvl>
    <w:lvl w:ilvl="8" w:tentative="0">
      <w:start w:val="1"/>
      <w:numFmt w:val="decimal"/>
      <w:isLgl/>
      <w:lvlText w:val="%1.%2.%3.%4.%5.%6.%7.%8.%9"/>
      <w:lvlJc w:val="left"/>
      <w:pPr>
        <w:ind w:left="4680" w:hanging="1800"/>
      </w:pPr>
      <w:rPr>
        <w:rFonts w:hint="default"/>
      </w:rPr>
    </w:lvl>
  </w:abstractNum>
  <w:abstractNum w:abstractNumId="2">
    <w:nsid w:val="1FC91163"/>
    <w:multiLevelType w:val="multilevel"/>
    <w:tmpl w:val="1FC91163"/>
    <w:lvl w:ilvl="0" w:tentative="0">
      <w:start w:val="1"/>
      <w:numFmt w:val="decimal"/>
      <w:pStyle w:val="3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7"/>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39"/>
      <w:suff w:val="nothing"/>
      <w:lvlText w:val="%1.%2.%3　"/>
      <w:lvlJc w:val="left"/>
      <w:pPr>
        <w:ind w:left="426" w:firstLine="0"/>
      </w:pPr>
      <w:rPr>
        <w:rFonts w:hint="eastAsia" w:ascii="黑体" w:hAnsi="Times New Roman" w:eastAsia="黑体"/>
        <w:b w:val="0"/>
        <w:i w:val="0"/>
        <w:sz w:val="21"/>
      </w:rPr>
    </w:lvl>
    <w:lvl w:ilvl="3" w:tentative="0">
      <w:start w:val="1"/>
      <w:numFmt w:val="decimal"/>
      <w:pStyle w:val="41"/>
      <w:suff w:val="nothing"/>
      <w:lvlText w:val="%1.%2.%3.%4　"/>
      <w:lvlJc w:val="left"/>
      <w:pPr>
        <w:ind w:left="0" w:firstLine="0"/>
      </w:pPr>
      <w:rPr>
        <w:rFonts w:hint="eastAsia" w:ascii="黑体" w:hAnsi="Times New Roman" w:eastAsia="黑体"/>
        <w:b w:val="0"/>
        <w:i w:val="0"/>
        <w:sz w:val="21"/>
      </w:rPr>
    </w:lvl>
    <w:lvl w:ilvl="4" w:tentative="0">
      <w:start w:val="1"/>
      <w:numFmt w:val="decimal"/>
      <w:pStyle w:val="42"/>
      <w:suff w:val="nothing"/>
      <w:lvlText w:val="%1.%2.%3.%4.%5　"/>
      <w:lvlJc w:val="left"/>
      <w:pPr>
        <w:ind w:left="0" w:firstLine="0"/>
      </w:pPr>
      <w:rPr>
        <w:rFonts w:hint="eastAsia" w:ascii="黑体" w:hAnsi="Times New Roman" w:eastAsia="黑体"/>
        <w:b w:val="0"/>
        <w:i w:val="0"/>
        <w:sz w:val="21"/>
      </w:rPr>
    </w:lvl>
    <w:lvl w:ilvl="5" w:tentative="0">
      <w:start w:val="1"/>
      <w:numFmt w:val="decimal"/>
      <w:pStyle w:val="4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32F04FB2"/>
    <w:multiLevelType w:val="multilevel"/>
    <w:tmpl w:val="32F04FB2"/>
    <w:lvl w:ilvl="0" w:tentative="0">
      <w:start w:val="1"/>
      <w:numFmt w:val="lowerLetter"/>
      <w:pStyle w:val="4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
    <w:nsid w:val="44C50F90"/>
    <w:multiLevelType w:val="multilevel"/>
    <w:tmpl w:val="44C50F90"/>
    <w:lvl w:ilvl="0" w:tentative="0">
      <w:start w:val="1"/>
      <w:numFmt w:val="lowerLetter"/>
      <w:pStyle w:val="24"/>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3"/>
      <w:lvlText w:val="%2)"/>
      <w:lvlJc w:val="left"/>
      <w:pPr>
        <w:tabs>
          <w:tab w:val="left" w:pos="1260"/>
        </w:tabs>
        <w:ind w:left="1259" w:hanging="419"/>
      </w:pPr>
      <w:rPr>
        <w:rFonts w:hint="eastAsia"/>
      </w:rPr>
    </w:lvl>
    <w:lvl w:ilvl="2" w:tentative="0">
      <w:start w:val="1"/>
      <w:numFmt w:val="decimal"/>
      <w:pStyle w:val="25"/>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675A2CB7"/>
    <w:multiLevelType w:val="multilevel"/>
    <w:tmpl w:val="675A2CB7"/>
    <w:lvl w:ilvl="0" w:tentative="0">
      <w:start w:val="1"/>
      <w:numFmt w:val="japaneseCounting"/>
      <w:lvlText w:val="%1、"/>
      <w:lvlJc w:val="left"/>
      <w:pPr>
        <w:ind w:left="1280" w:hanging="720"/>
      </w:pPr>
      <w:rPr>
        <w:rFonts w:hint="default"/>
        <w:b/>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6">
    <w:nsid w:val="6CEA2025"/>
    <w:multiLevelType w:val="multilevel"/>
    <w:tmpl w:val="6CEA2025"/>
    <w:lvl w:ilvl="0" w:tentative="0">
      <w:start w:val="1"/>
      <w:numFmt w:val="none"/>
      <w:pStyle w:val="54"/>
      <w:suff w:val="nothing"/>
      <w:lvlText w:val="%1"/>
      <w:lvlJc w:val="left"/>
      <w:pPr>
        <w:ind w:left="0" w:firstLine="0"/>
      </w:pPr>
      <w:rPr>
        <w:rFonts w:hint="eastAsia"/>
      </w:rPr>
    </w:lvl>
    <w:lvl w:ilvl="1" w:tentative="0">
      <w:start w:val="1"/>
      <w:numFmt w:val="decimal"/>
      <w:pStyle w:val="52"/>
      <w:suff w:val="nothing"/>
      <w:lvlText w:val="%1%2　"/>
      <w:lvlJc w:val="left"/>
      <w:pPr>
        <w:ind w:left="0" w:firstLine="0"/>
      </w:pPr>
      <w:rPr>
        <w:rFonts w:hint="eastAsia" w:ascii="黑体" w:eastAsia="黑体"/>
        <w:b w:val="0"/>
        <w:i w:val="0"/>
        <w:sz w:val="21"/>
      </w:rPr>
    </w:lvl>
    <w:lvl w:ilvl="2" w:tentative="0">
      <w:start w:val="1"/>
      <w:numFmt w:val="decimal"/>
      <w:pStyle w:val="53"/>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48"/>
      <w:suff w:val="nothing"/>
      <w:lvlText w:val="%1%2.%3.%4　"/>
      <w:lvlJc w:val="left"/>
      <w:pPr>
        <w:ind w:left="0" w:firstLine="0"/>
      </w:pPr>
      <w:rPr>
        <w:rFonts w:hint="eastAsia" w:ascii="黑体" w:eastAsia="黑体"/>
        <w:b w:val="0"/>
        <w:i w:val="0"/>
        <w:sz w:val="21"/>
      </w:rPr>
    </w:lvl>
    <w:lvl w:ilvl="4" w:tentative="0">
      <w:start w:val="1"/>
      <w:numFmt w:val="decimal"/>
      <w:pStyle w:val="49"/>
      <w:suff w:val="nothing"/>
      <w:lvlText w:val="%1%2.%3.%4.%5　"/>
      <w:lvlJc w:val="left"/>
      <w:pPr>
        <w:ind w:left="0" w:firstLine="0"/>
      </w:pPr>
      <w:rPr>
        <w:rFonts w:hint="eastAsia" w:ascii="黑体" w:eastAsia="黑体"/>
        <w:b w:val="0"/>
        <w:i w:val="0"/>
        <w:sz w:val="21"/>
      </w:rPr>
    </w:lvl>
    <w:lvl w:ilvl="5" w:tentative="0">
      <w:start w:val="1"/>
      <w:numFmt w:val="decimal"/>
      <w:pStyle w:val="50"/>
      <w:suff w:val="nothing"/>
      <w:lvlText w:val="%1%2.%3.%4.%5.%6　"/>
      <w:lvlJc w:val="left"/>
      <w:pPr>
        <w:ind w:left="0" w:firstLine="0"/>
      </w:pPr>
      <w:rPr>
        <w:rFonts w:hint="eastAsia" w:ascii="黑体" w:eastAsia="黑体"/>
        <w:b w:val="0"/>
        <w:i w:val="0"/>
        <w:sz w:val="21"/>
      </w:rPr>
    </w:lvl>
    <w:lvl w:ilvl="6" w:tentative="0">
      <w:start w:val="1"/>
      <w:numFmt w:val="decimal"/>
      <w:pStyle w:val="51"/>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0"/>
  </w:num>
  <w:num w:numId="3">
    <w:abstractNumId w:val="2"/>
  </w:num>
  <w:num w:numId="4">
    <w:abstractNumId w:val="3"/>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C232F"/>
    <w:rsid w:val="000005B1"/>
    <w:rsid w:val="00011920"/>
    <w:rsid w:val="00031217"/>
    <w:rsid w:val="000343A1"/>
    <w:rsid w:val="0004071B"/>
    <w:rsid w:val="000605A4"/>
    <w:rsid w:val="00061706"/>
    <w:rsid w:val="00063BE6"/>
    <w:rsid w:val="00066D34"/>
    <w:rsid w:val="00072B39"/>
    <w:rsid w:val="00091F45"/>
    <w:rsid w:val="000A2AFE"/>
    <w:rsid w:val="000B06BE"/>
    <w:rsid w:val="000B2A3A"/>
    <w:rsid w:val="000B5983"/>
    <w:rsid w:val="000C1B16"/>
    <w:rsid w:val="000C78E9"/>
    <w:rsid w:val="000D30D5"/>
    <w:rsid w:val="000D6754"/>
    <w:rsid w:val="000F0782"/>
    <w:rsid w:val="0010344E"/>
    <w:rsid w:val="00104589"/>
    <w:rsid w:val="00106939"/>
    <w:rsid w:val="00111270"/>
    <w:rsid w:val="001137AD"/>
    <w:rsid w:val="00121111"/>
    <w:rsid w:val="001347C0"/>
    <w:rsid w:val="00134B97"/>
    <w:rsid w:val="001421B0"/>
    <w:rsid w:val="00146AD5"/>
    <w:rsid w:val="00152FB7"/>
    <w:rsid w:val="0016015E"/>
    <w:rsid w:val="00162B88"/>
    <w:rsid w:val="00163449"/>
    <w:rsid w:val="00185B3E"/>
    <w:rsid w:val="00191B7F"/>
    <w:rsid w:val="001A07E3"/>
    <w:rsid w:val="001A3B11"/>
    <w:rsid w:val="001A5E8F"/>
    <w:rsid w:val="001A6B8B"/>
    <w:rsid w:val="001A76C3"/>
    <w:rsid w:val="001B0C75"/>
    <w:rsid w:val="001B16DB"/>
    <w:rsid w:val="001B3CED"/>
    <w:rsid w:val="001D17B7"/>
    <w:rsid w:val="001D6653"/>
    <w:rsid w:val="001E0E0E"/>
    <w:rsid w:val="001E1B60"/>
    <w:rsid w:val="001E2E40"/>
    <w:rsid w:val="001E6533"/>
    <w:rsid w:val="00202B88"/>
    <w:rsid w:val="002031CF"/>
    <w:rsid w:val="00222A89"/>
    <w:rsid w:val="00230ADE"/>
    <w:rsid w:val="002413BA"/>
    <w:rsid w:val="0025227F"/>
    <w:rsid w:val="00257032"/>
    <w:rsid w:val="002657AD"/>
    <w:rsid w:val="002818A2"/>
    <w:rsid w:val="00287D58"/>
    <w:rsid w:val="002B2A89"/>
    <w:rsid w:val="002B3864"/>
    <w:rsid w:val="002C232F"/>
    <w:rsid w:val="002D2CE7"/>
    <w:rsid w:val="002D779B"/>
    <w:rsid w:val="002E383A"/>
    <w:rsid w:val="002E43AC"/>
    <w:rsid w:val="002E747C"/>
    <w:rsid w:val="002F4210"/>
    <w:rsid w:val="002F43D9"/>
    <w:rsid w:val="002F46F4"/>
    <w:rsid w:val="00316158"/>
    <w:rsid w:val="00316F82"/>
    <w:rsid w:val="003214CB"/>
    <w:rsid w:val="00325556"/>
    <w:rsid w:val="00325935"/>
    <w:rsid w:val="003339A6"/>
    <w:rsid w:val="00346D05"/>
    <w:rsid w:val="0036113C"/>
    <w:rsid w:val="00362CA8"/>
    <w:rsid w:val="00363023"/>
    <w:rsid w:val="00374F4A"/>
    <w:rsid w:val="003907C5"/>
    <w:rsid w:val="003977FB"/>
    <w:rsid w:val="003A78D7"/>
    <w:rsid w:val="003B0DA9"/>
    <w:rsid w:val="003B4583"/>
    <w:rsid w:val="003C04F0"/>
    <w:rsid w:val="003D76CD"/>
    <w:rsid w:val="003E03C7"/>
    <w:rsid w:val="003E0720"/>
    <w:rsid w:val="003E54F3"/>
    <w:rsid w:val="004014A2"/>
    <w:rsid w:val="00411EC6"/>
    <w:rsid w:val="004144AF"/>
    <w:rsid w:val="004149BF"/>
    <w:rsid w:val="0042770D"/>
    <w:rsid w:val="0045226D"/>
    <w:rsid w:val="00470B34"/>
    <w:rsid w:val="00475BD0"/>
    <w:rsid w:val="00484EEE"/>
    <w:rsid w:val="00492E51"/>
    <w:rsid w:val="00494A22"/>
    <w:rsid w:val="004A54D4"/>
    <w:rsid w:val="004A7155"/>
    <w:rsid w:val="004B42A0"/>
    <w:rsid w:val="004C08E1"/>
    <w:rsid w:val="004C3C90"/>
    <w:rsid w:val="004D05C0"/>
    <w:rsid w:val="004E1360"/>
    <w:rsid w:val="004E4EE4"/>
    <w:rsid w:val="004E5B06"/>
    <w:rsid w:val="005114D2"/>
    <w:rsid w:val="00511C72"/>
    <w:rsid w:val="00514243"/>
    <w:rsid w:val="00521164"/>
    <w:rsid w:val="005236DC"/>
    <w:rsid w:val="00532210"/>
    <w:rsid w:val="00534AF2"/>
    <w:rsid w:val="0053529E"/>
    <w:rsid w:val="0054035F"/>
    <w:rsid w:val="00572FAD"/>
    <w:rsid w:val="00575DBA"/>
    <w:rsid w:val="00584AA0"/>
    <w:rsid w:val="00595B23"/>
    <w:rsid w:val="005A2891"/>
    <w:rsid w:val="005B4EC2"/>
    <w:rsid w:val="005B5F59"/>
    <w:rsid w:val="005D3EF3"/>
    <w:rsid w:val="005E1AC9"/>
    <w:rsid w:val="005E23C8"/>
    <w:rsid w:val="005F1857"/>
    <w:rsid w:val="005F220A"/>
    <w:rsid w:val="00605261"/>
    <w:rsid w:val="00605321"/>
    <w:rsid w:val="00611455"/>
    <w:rsid w:val="006175B2"/>
    <w:rsid w:val="00633607"/>
    <w:rsid w:val="00635CBA"/>
    <w:rsid w:val="00635E0B"/>
    <w:rsid w:val="00687A26"/>
    <w:rsid w:val="006922AF"/>
    <w:rsid w:val="006B1BF3"/>
    <w:rsid w:val="006B7119"/>
    <w:rsid w:val="006C3EBF"/>
    <w:rsid w:val="006C7631"/>
    <w:rsid w:val="006D07AD"/>
    <w:rsid w:val="006D5E01"/>
    <w:rsid w:val="006D6E6E"/>
    <w:rsid w:val="006E1FBD"/>
    <w:rsid w:val="006F437C"/>
    <w:rsid w:val="00702A19"/>
    <w:rsid w:val="00704D41"/>
    <w:rsid w:val="00706215"/>
    <w:rsid w:val="00707D25"/>
    <w:rsid w:val="00721309"/>
    <w:rsid w:val="00722C72"/>
    <w:rsid w:val="00724375"/>
    <w:rsid w:val="00726174"/>
    <w:rsid w:val="00740468"/>
    <w:rsid w:val="00753EEF"/>
    <w:rsid w:val="00760A18"/>
    <w:rsid w:val="00764161"/>
    <w:rsid w:val="007651C1"/>
    <w:rsid w:val="00766187"/>
    <w:rsid w:val="00766AF4"/>
    <w:rsid w:val="007675B9"/>
    <w:rsid w:val="00773003"/>
    <w:rsid w:val="00780954"/>
    <w:rsid w:val="007843B3"/>
    <w:rsid w:val="0079277E"/>
    <w:rsid w:val="00795D80"/>
    <w:rsid w:val="007976E1"/>
    <w:rsid w:val="007A6922"/>
    <w:rsid w:val="007B5B31"/>
    <w:rsid w:val="007C376E"/>
    <w:rsid w:val="007C7126"/>
    <w:rsid w:val="007D2025"/>
    <w:rsid w:val="007E18C4"/>
    <w:rsid w:val="008022FF"/>
    <w:rsid w:val="00802A40"/>
    <w:rsid w:val="008126F6"/>
    <w:rsid w:val="00817A5D"/>
    <w:rsid w:val="00817E79"/>
    <w:rsid w:val="008246B9"/>
    <w:rsid w:val="008250DE"/>
    <w:rsid w:val="00834BD9"/>
    <w:rsid w:val="00836165"/>
    <w:rsid w:val="00855232"/>
    <w:rsid w:val="00860672"/>
    <w:rsid w:val="00884797"/>
    <w:rsid w:val="008A26A9"/>
    <w:rsid w:val="008B0948"/>
    <w:rsid w:val="008B35E3"/>
    <w:rsid w:val="008D40E0"/>
    <w:rsid w:val="008D44C1"/>
    <w:rsid w:val="008E1A33"/>
    <w:rsid w:val="008E56B2"/>
    <w:rsid w:val="008E758D"/>
    <w:rsid w:val="009012B8"/>
    <w:rsid w:val="009258F0"/>
    <w:rsid w:val="00932168"/>
    <w:rsid w:val="009325C4"/>
    <w:rsid w:val="00933654"/>
    <w:rsid w:val="009431DA"/>
    <w:rsid w:val="00964DBC"/>
    <w:rsid w:val="00980171"/>
    <w:rsid w:val="00982FE6"/>
    <w:rsid w:val="0098432E"/>
    <w:rsid w:val="00984973"/>
    <w:rsid w:val="0098531F"/>
    <w:rsid w:val="00990791"/>
    <w:rsid w:val="009A4AC2"/>
    <w:rsid w:val="009A5123"/>
    <w:rsid w:val="009B05D8"/>
    <w:rsid w:val="009B377F"/>
    <w:rsid w:val="009D5865"/>
    <w:rsid w:val="009E3E81"/>
    <w:rsid w:val="00A02A7A"/>
    <w:rsid w:val="00A35A37"/>
    <w:rsid w:val="00A432F6"/>
    <w:rsid w:val="00A8051B"/>
    <w:rsid w:val="00A90546"/>
    <w:rsid w:val="00AA0DC0"/>
    <w:rsid w:val="00AA1209"/>
    <w:rsid w:val="00AA3E58"/>
    <w:rsid w:val="00AA4A76"/>
    <w:rsid w:val="00AA5035"/>
    <w:rsid w:val="00AB1EC5"/>
    <w:rsid w:val="00AC6BC1"/>
    <w:rsid w:val="00AE10FE"/>
    <w:rsid w:val="00AF452E"/>
    <w:rsid w:val="00B054EC"/>
    <w:rsid w:val="00B20190"/>
    <w:rsid w:val="00B3251A"/>
    <w:rsid w:val="00B328FD"/>
    <w:rsid w:val="00B54481"/>
    <w:rsid w:val="00B6018F"/>
    <w:rsid w:val="00B66F29"/>
    <w:rsid w:val="00B72866"/>
    <w:rsid w:val="00B85205"/>
    <w:rsid w:val="00BB2AFA"/>
    <w:rsid w:val="00BB56EE"/>
    <w:rsid w:val="00BC7E23"/>
    <w:rsid w:val="00BD5BC6"/>
    <w:rsid w:val="00BF367B"/>
    <w:rsid w:val="00C0005F"/>
    <w:rsid w:val="00C16784"/>
    <w:rsid w:val="00C20850"/>
    <w:rsid w:val="00C20C54"/>
    <w:rsid w:val="00C37609"/>
    <w:rsid w:val="00C41CB3"/>
    <w:rsid w:val="00C61C6E"/>
    <w:rsid w:val="00C62860"/>
    <w:rsid w:val="00C62F18"/>
    <w:rsid w:val="00C71641"/>
    <w:rsid w:val="00C72BED"/>
    <w:rsid w:val="00CA0EDE"/>
    <w:rsid w:val="00CA4DBF"/>
    <w:rsid w:val="00CB071B"/>
    <w:rsid w:val="00CB3856"/>
    <w:rsid w:val="00CB4116"/>
    <w:rsid w:val="00CD1B9F"/>
    <w:rsid w:val="00CD3DAE"/>
    <w:rsid w:val="00CD4E75"/>
    <w:rsid w:val="00CF0B5B"/>
    <w:rsid w:val="00CF1995"/>
    <w:rsid w:val="00CF7681"/>
    <w:rsid w:val="00D24F3B"/>
    <w:rsid w:val="00D37813"/>
    <w:rsid w:val="00D43917"/>
    <w:rsid w:val="00D63143"/>
    <w:rsid w:val="00D70961"/>
    <w:rsid w:val="00D722CE"/>
    <w:rsid w:val="00D93830"/>
    <w:rsid w:val="00D950A5"/>
    <w:rsid w:val="00D97473"/>
    <w:rsid w:val="00DA32F9"/>
    <w:rsid w:val="00DA7F96"/>
    <w:rsid w:val="00DC2C1F"/>
    <w:rsid w:val="00DD43E3"/>
    <w:rsid w:val="00DE2FC3"/>
    <w:rsid w:val="00DE3A5D"/>
    <w:rsid w:val="00DE5967"/>
    <w:rsid w:val="00DF76C4"/>
    <w:rsid w:val="00E0152D"/>
    <w:rsid w:val="00E10408"/>
    <w:rsid w:val="00E11405"/>
    <w:rsid w:val="00E13EB8"/>
    <w:rsid w:val="00E14524"/>
    <w:rsid w:val="00E1543F"/>
    <w:rsid w:val="00E365F6"/>
    <w:rsid w:val="00E3715D"/>
    <w:rsid w:val="00E444A2"/>
    <w:rsid w:val="00E47B6C"/>
    <w:rsid w:val="00E510F8"/>
    <w:rsid w:val="00E51251"/>
    <w:rsid w:val="00E717F1"/>
    <w:rsid w:val="00E75F82"/>
    <w:rsid w:val="00E924BA"/>
    <w:rsid w:val="00EA25C6"/>
    <w:rsid w:val="00EA303A"/>
    <w:rsid w:val="00EB08F4"/>
    <w:rsid w:val="00EB3B82"/>
    <w:rsid w:val="00EB3E0B"/>
    <w:rsid w:val="00EB4B0F"/>
    <w:rsid w:val="00EE1969"/>
    <w:rsid w:val="00EE3A58"/>
    <w:rsid w:val="00EF23A4"/>
    <w:rsid w:val="00F004B8"/>
    <w:rsid w:val="00F02542"/>
    <w:rsid w:val="00F04C45"/>
    <w:rsid w:val="00F1514D"/>
    <w:rsid w:val="00F15F7E"/>
    <w:rsid w:val="00F167F5"/>
    <w:rsid w:val="00F22D18"/>
    <w:rsid w:val="00F263E0"/>
    <w:rsid w:val="00F33F86"/>
    <w:rsid w:val="00F50D92"/>
    <w:rsid w:val="00F5399E"/>
    <w:rsid w:val="00F564BA"/>
    <w:rsid w:val="00F75453"/>
    <w:rsid w:val="00F84F03"/>
    <w:rsid w:val="00F85B43"/>
    <w:rsid w:val="00F919F1"/>
    <w:rsid w:val="00F97F60"/>
    <w:rsid w:val="00FA5088"/>
    <w:rsid w:val="00FC52D3"/>
    <w:rsid w:val="00FE6734"/>
    <w:rsid w:val="00FF2190"/>
    <w:rsid w:val="01742831"/>
    <w:rsid w:val="035B4E2C"/>
    <w:rsid w:val="04C477F7"/>
    <w:rsid w:val="074D6782"/>
    <w:rsid w:val="11170C30"/>
    <w:rsid w:val="165E1E04"/>
    <w:rsid w:val="1F3A7C21"/>
    <w:rsid w:val="2829472B"/>
    <w:rsid w:val="2C84087D"/>
    <w:rsid w:val="34B34BA3"/>
    <w:rsid w:val="39542807"/>
    <w:rsid w:val="3BA81F7A"/>
    <w:rsid w:val="41947754"/>
    <w:rsid w:val="477E4DB5"/>
    <w:rsid w:val="51FD097F"/>
    <w:rsid w:val="52796731"/>
    <w:rsid w:val="53737C8A"/>
    <w:rsid w:val="59013E75"/>
    <w:rsid w:val="5B1F2C26"/>
    <w:rsid w:val="5E8455AA"/>
    <w:rsid w:val="5EC62C28"/>
    <w:rsid w:val="65CC437B"/>
    <w:rsid w:val="6D1F77E5"/>
    <w:rsid w:val="71E3759C"/>
    <w:rsid w:val="7DE01383"/>
    <w:rsid w:val="7EB324EC"/>
    <w:rsid w:val="7FE30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5"/>
    <w:semiHidden/>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3"/>
    <w:unhideWhenUsed/>
    <w:qFormat/>
    <w:uiPriority w:val="99"/>
    <w:pPr>
      <w:jc w:val="left"/>
    </w:pPr>
  </w:style>
  <w:style w:type="paragraph" w:styleId="6">
    <w:name w:val="toc 3"/>
    <w:basedOn w:val="1"/>
    <w:next w:val="1"/>
    <w:unhideWhenUsed/>
    <w:qFormat/>
    <w:uiPriority w:val="39"/>
    <w:pPr>
      <w:ind w:left="840" w:leftChars="400"/>
    </w:pPr>
  </w:style>
  <w:style w:type="paragraph" w:styleId="7">
    <w:name w:val="Date"/>
    <w:basedOn w:val="1"/>
    <w:next w:val="1"/>
    <w:link w:val="36"/>
    <w:semiHidden/>
    <w:unhideWhenUsed/>
    <w:qFormat/>
    <w:uiPriority w:val="99"/>
    <w:pPr>
      <w:ind w:left="100" w:leftChars="2500"/>
    </w:pPr>
  </w:style>
  <w:style w:type="paragraph" w:styleId="8">
    <w:name w:val="Balloon Text"/>
    <w:basedOn w:val="1"/>
    <w:link w:val="35"/>
    <w:semiHidden/>
    <w:unhideWhenUsed/>
    <w:qFormat/>
    <w:uiPriority w:val="99"/>
    <w:rPr>
      <w:sz w:val="18"/>
      <w:szCs w:val="18"/>
    </w:rPr>
  </w:style>
  <w:style w:type="paragraph" w:styleId="9">
    <w:name w:val="footer"/>
    <w:basedOn w:val="1"/>
    <w:link w:val="21"/>
    <w:unhideWhenUsed/>
    <w:qFormat/>
    <w:uiPriority w:val="99"/>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pPr>
      <w:spacing w:before="120" w:after="120"/>
      <w:jc w:val="left"/>
    </w:pPr>
    <w:rPr>
      <w:rFonts w:ascii="等线" w:eastAsia="等线"/>
      <w:b/>
      <w:bCs/>
      <w:caps/>
      <w:sz w:val="20"/>
      <w:szCs w:val="20"/>
    </w:rPr>
  </w:style>
  <w:style w:type="paragraph" w:styleId="12">
    <w:name w:val="toc 2"/>
    <w:basedOn w:val="1"/>
    <w:next w:val="1"/>
    <w:unhideWhenUsed/>
    <w:qFormat/>
    <w:uiPriority w:val="39"/>
    <w:pPr>
      <w:ind w:left="420" w:leftChars="200"/>
    </w:p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annotation subject"/>
    <w:basedOn w:val="5"/>
    <w:next w:val="5"/>
    <w:link w:val="34"/>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unhideWhenUsed/>
    <w:qFormat/>
    <w:uiPriority w:val="99"/>
    <w:rPr>
      <w:color w:val="0563C1" w:themeColor="hyperlink"/>
      <w:u w:val="single"/>
    </w:rPr>
  </w:style>
  <w:style w:type="character" w:styleId="19">
    <w:name w:val="annotation reference"/>
    <w:basedOn w:val="17"/>
    <w:semiHidden/>
    <w:unhideWhenUsed/>
    <w:qFormat/>
    <w:uiPriority w:val="99"/>
    <w:rPr>
      <w:sz w:val="21"/>
      <w:szCs w:val="21"/>
    </w:rPr>
  </w:style>
  <w:style w:type="character" w:customStyle="1" w:styleId="20">
    <w:name w:val="页眉 Char"/>
    <w:basedOn w:val="17"/>
    <w:link w:val="10"/>
    <w:qFormat/>
    <w:uiPriority w:val="99"/>
    <w:rPr>
      <w:sz w:val="18"/>
      <w:szCs w:val="18"/>
    </w:rPr>
  </w:style>
  <w:style w:type="character" w:customStyle="1" w:styleId="21">
    <w:name w:val="页脚 Char"/>
    <w:basedOn w:val="17"/>
    <w:link w:val="9"/>
    <w:qFormat/>
    <w:uiPriority w:val="99"/>
    <w:rPr>
      <w:sz w:val="18"/>
      <w:szCs w:val="18"/>
    </w:rPr>
  </w:style>
  <w:style w:type="paragraph" w:styleId="22">
    <w:name w:val="List Paragraph"/>
    <w:basedOn w:val="1"/>
    <w:qFormat/>
    <w:uiPriority w:val="34"/>
    <w:pPr>
      <w:ind w:firstLine="420" w:firstLineChars="200"/>
    </w:pPr>
  </w:style>
  <w:style w:type="paragraph" w:customStyle="1" w:styleId="23">
    <w:name w:val="数字编号列项（二级）"/>
    <w:qFormat/>
    <w:uiPriority w:val="0"/>
    <w:pPr>
      <w:numPr>
        <w:ilvl w:val="1"/>
        <w:numId w:val="1"/>
      </w:numPr>
      <w:jc w:val="both"/>
    </w:pPr>
    <w:rPr>
      <w:rFonts w:ascii="宋体" w:hAnsi="Times New Roman" w:eastAsia="宋体" w:cs="Times New Roman"/>
      <w:sz w:val="21"/>
      <w:lang w:val="en-US" w:eastAsia="zh-CN" w:bidi="ar-SA"/>
    </w:rPr>
  </w:style>
  <w:style w:type="paragraph" w:customStyle="1" w:styleId="24">
    <w:name w:val="字母编号列项（一级）"/>
    <w:qFormat/>
    <w:uiPriority w:val="0"/>
    <w:pPr>
      <w:numPr>
        <w:ilvl w:val="0"/>
        <w:numId w:val="1"/>
      </w:numPr>
      <w:jc w:val="both"/>
    </w:pPr>
    <w:rPr>
      <w:rFonts w:ascii="宋体" w:hAnsi="Times New Roman" w:eastAsia="宋体" w:cs="Times New Roman"/>
      <w:sz w:val="21"/>
      <w:lang w:val="en-US" w:eastAsia="zh-CN" w:bidi="ar-SA"/>
    </w:rPr>
  </w:style>
  <w:style w:type="paragraph" w:customStyle="1" w:styleId="25">
    <w:name w:val="编号列项（三级）"/>
    <w:qFormat/>
    <w:uiPriority w:val="0"/>
    <w:pPr>
      <w:numPr>
        <w:ilvl w:val="2"/>
        <w:numId w:val="1"/>
      </w:numPr>
    </w:pPr>
    <w:rPr>
      <w:rFonts w:ascii="宋体" w:hAnsi="Times New Roman" w:eastAsia="宋体" w:cs="Times New Roman"/>
      <w:sz w:val="21"/>
      <w:lang w:val="en-US" w:eastAsia="zh-CN" w:bidi="ar-SA"/>
    </w:rPr>
  </w:style>
  <w:style w:type="character" w:customStyle="1" w:styleId="26">
    <w:name w:val="标题 1 Char"/>
    <w:basedOn w:val="17"/>
    <w:link w:val="2"/>
    <w:qFormat/>
    <w:uiPriority w:val="9"/>
    <w:rPr>
      <w:rFonts w:ascii="Times New Roman" w:hAnsi="Times New Roman" w:eastAsia="宋体" w:cs="Times New Roman"/>
      <w:b/>
      <w:bCs/>
      <w:kern w:val="44"/>
      <w:sz w:val="44"/>
      <w:szCs w:val="44"/>
    </w:rPr>
  </w:style>
  <w:style w:type="character" w:customStyle="1" w:styleId="27">
    <w:name w:val="标题 2 Char"/>
    <w:basedOn w:val="17"/>
    <w:link w:val="3"/>
    <w:semiHidden/>
    <w:qFormat/>
    <w:uiPriority w:val="9"/>
    <w:rPr>
      <w:rFonts w:asciiTheme="majorHAnsi" w:hAnsiTheme="majorHAnsi" w:eastAsiaTheme="majorEastAsia" w:cstheme="majorBidi"/>
      <w:b/>
      <w:bCs/>
      <w:sz w:val="32"/>
      <w:szCs w:val="32"/>
    </w:rPr>
  </w:style>
  <w:style w:type="character" w:customStyle="1" w:styleId="28">
    <w:name w:val="段 Char"/>
    <w:link w:val="29"/>
    <w:qFormat/>
    <w:locked/>
    <w:uiPriority w:val="0"/>
    <w:rPr>
      <w:rFonts w:ascii="宋体" w:eastAsia="宋体" w:cs="宋体"/>
      <w:szCs w:val="21"/>
    </w:rPr>
  </w:style>
  <w:style w:type="paragraph" w:customStyle="1" w:styleId="29">
    <w:name w:val="段"/>
    <w:link w:val="28"/>
    <w:qFormat/>
    <w:uiPriority w:val="0"/>
    <w:pPr>
      <w:tabs>
        <w:tab w:val="center" w:pos="4201"/>
        <w:tab w:val="right" w:leader="dot" w:pos="9298"/>
      </w:tabs>
      <w:autoSpaceDE w:val="0"/>
      <w:autoSpaceDN w:val="0"/>
      <w:ind w:firstLine="420" w:firstLineChars="200"/>
      <w:jc w:val="both"/>
    </w:pPr>
    <w:rPr>
      <w:rFonts w:ascii="宋体" w:eastAsia="宋体" w:cs="宋体" w:hAnsiTheme="minorHAnsi"/>
      <w:kern w:val="2"/>
      <w:sz w:val="21"/>
      <w:szCs w:val="21"/>
      <w:lang w:val="en-US" w:eastAsia="zh-CN" w:bidi="ar-SA"/>
    </w:rPr>
  </w:style>
  <w:style w:type="paragraph" w:customStyle="1" w:styleId="30">
    <w:name w:val="正文表标题"/>
    <w:next w:val="29"/>
    <w:qFormat/>
    <w:uiPriority w:val="0"/>
    <w:pPr>
      <w:numPr>
        <w:ilvl w:val="0"/>
        <w:numId w:val="2"/>
      </w:numPr>
      <w:spacing w:beforeLines="50" w:afterLines="50"/>
      <w:jc w:val="center"/>
    </w:pPr>
    <w:rPr>
      <w:rFonts w:ascii="黑体" w:hAnsi="Times New Roman" w:eastAsia="黑体" w:cs="Times New Roman"/>
      <w:sz w:val="21"/>
      <w:lang w:val="en-US" w:eastAsia="zh-CN" w:bidi="ar-SA"/>
    </w:rPr>
  </w:style>
  <w:style w:type="paragraph" w:customStyle="1" w:styleId="31">
    <w:name w:val="正文图标题"/>
    <w:next w:val="29"/>
    <w:qFormat/>
    <w:uiPriority w:val="0"/>
    <w:pPr>
      <w:tabs>
        <w:tab w:val="left" w:pos="840"/>
      </w:tabs>
      <w:spacing w:beforeLines="50" w:afterLines="50"/>
      <w:ind w:left="839" w:hanging="419"/>
      <w:jc w:val="center"/>
    </w:pPr>
    <w:rPr>
      <w:rFonts w:ascii="黑体" w:hAnsi="Times New Roman" w:eastAsia="黑体" w:cs="Times New Roman"/>
      <w:sz w:val="21"/>
      <w:lang w:val="en-US" w:eastAsia="zh-CN" w:bidi="ar-SA"/>
    </w:rPr>
  </w:style>
  <w:style w:type="paragraph" w:customStyle="1" w:styleId="32">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5" w:themeColor="accent1" w:themeShade="BF"/>
      <w:kern w:val="0"/>
      <w:sz w:val="32"/>
      <w:szCs w:val="32"/>
    </w:rPr>
  </w:style>
  <w:style w:type="character" w:customStyle="1" w:styleId="33">
    <w:name w:val="批注文字 Char"/>
    <w:basedOn w:val="17"/>
    <w:link w:val="5"/>
    <w:qFormat/>
    <w:uiPriority w:val="99"/>
    <w:rPr>
      <w:rFonts w:ascii="Times New Roman" w:hAnsi="Times New Roman" w:eastAsia="宋体" w:cs="Times New Roman"/>
      <w:szCs w:val="24"/>
    </w:rPr>
  </w:style>
  <w:style w:type="character" w:customStyle="1" w:styleId="34">
    <w:name w:val="批注主题 Char"/>
    <w:basedOn w:val="33"/>
    <w:link w:val="14"/>
    <w:semiHidden/>
    <w:qFormat/>
    <w:uiPriority w:val="99"/>
    <w:rPr>
      <w:rFonts w:ascii="Times New Roman" w:hAnsi="Times New Roman" w:eastAsia="宋体" w:cs="Times New Roman"/>
      <w:b/>
      <w:bCs/>
      <w:szCs w:val="24"/>
    </w:rPr>
  </w:style>
  <w:style w:type="character" w:customStyle="1" w:styleId="35">
    <w:name w:val="批注框文本 Char"/>
    <w:basedOn w:val="17"/>
    <w:link w:val="8"/>
    <w:semiHidden/>
    <w:qFormat/>
    <w:uiPriority w:val="99"/>
    <w:rPr>
      <w:rFonts w:ascii="Times New Roman" w:hAnsi="Times New Roman" w:eastAsia="宋体" w:cs="Times New Roman"/>
      <w:sz w:val="18"/>
      <w:szCs w:val="18"/>
    </w:rPr>
  </w:style>
  <w:style w:type="character" w:customStyle="1" w:styleId="36">
    <w:name w:val="日期 Char"/>
    <w:basedOn w:val="17"/>
    <w:link w:val="7"/>
    <w:semiHidden/>
    <w:qFormat/>
    <w:uiPriority w:val="99"/>
    <w:rPr>
      <w:kern w:val="2"/>
      <w:sz w:val="21"/>
      <w:szCs w:val="24"/>
    </w:rPr>
  </w:style>
  <w:style w:type="paragraph" w:customStyle="1" w:styleId="37">
    <w:name w:val="一级条标题"/>
    <w:next w:val="29"/>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38">
    <w:name w:val="章标题"/>
    <w:next w:val="29"/>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39">
    <w:name w:val="二级条标题"/>
    <w:basedOn w:val="37"/>
    <w:next w:val="29"/>
    <w:qFormat/>
    <w:uiPriority w:val="0"/>
    <w:pPr>
      <w:numPr>
        <w:ilvl w:val="2"/>
      </w:numPr>
      <w:spacing w:before="50" w:after="50"/>
      <w:outlineLvl w:val="3"/>
    </w:pPr>
  </w:style>
  <w:style w:type="paragraph" w:customStyle="1" w:styleId="4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1">
    <w:name w:val="三级条标题"/>
    <w:basedOn w:val="39"/>
    <w:next w:val="29"/>
    <w:qFormat/>
    <w:uiPriority w:val="0"/>
    <w:pPr>
      <w:numPr>
        <w:ilvl w:val="3"/>
      </w:numPr>
      <w:outlineLvl w:val="4"/>
    </w:pPr>
  </w:style>
  <w:style w:type="paragraph" w:customStyle="1" w:styleId="42">
    <w:name w:val="四级条标题"/>
    <w:basedOn w:val="41"/>
    <w:next w:val="29"/>
    <w:qFormat/>
    <w:uiPriority w:val="0"/>
    <w:pPr>
      <w:numPr>
        <w:ilvl w:val="4"/>
      </w:numPr>
      <w:outlineLvl w:val="5"/>
    </w:pPr>
  </w:style>
  <w:style w:type="paragraph" w:customStyle="1" w:styleId="43">
    <w:name w:val="五级条标题"/>
    <w:basedOn w:val="42"/>
    <w:next w:val="29"/>
    <w:qFormat/>
    <w:uiPriority w:val="0"/>
    <w:pPr>
      <w:numPr>
        <w:ilvl w:val="5"/>
      </w:numPr>
      <w:outlineLvl w:val="6"/>
    </w:pPr>
  </w:style>
  <w:style w:type="paragraph" w:customStyle="1" w:styleId="44">
    <w:name w:val="二级无"/>
    <w:basedOn w:val="39"/>
    <w:qFormat/>
    <w:uiPriority w:val="0"/>
    <w:pPr>
      <w:spacing w:beforeLines="0" w:afterLines="0"/>
    </w:pPr>
    <w:rPr>
      <w:rFonts w:ascii="宋体" w:eastAsia="宋体"/>
    </w:rPr>
  </w:style>
  <w:style w:type="paragraph" w:customStyle="1" w:styleId="45">
    <w:name w:val="标准文件_段"/>
    <w:link w:val="4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6">
    <w:name w:val="标准文件_图表脚注"/>
    <w:basedOn w:val="1"/>
    <w:next w:val="45"/>
    <w:qFormat/>
    <w:uiPriority w:val="0"/>
    <w:pPr>
      <w:numPr>
        <w:ilvl w:val="0"/>
        <w:numId w:val="4"/>
      </w:numPr>
      <w:adjustRightInd w:val="0"/>
      <w:jc w:val="left"/>
    </w:pPr>
    <w:rPr>
      <w:rFonts w:ascii="宋体" w:hAnsi="宋体"/>
      <w:sz w:val="18"/>
      <w:szCs w:val="21"/>
    </w:rPr>
  </w:style>
  <w:style w:type="character" w:customStyle="1" w:styleId="47">
    <w:name w:val="标准文件_段 Char"/>
    <w:link w:val="45"/>
    <w:qFormat/>
    <w:uiPriority w:val="0"/>
    <w:rPr>
      <w:rFonts w:ascii="宋体"/>
      <w:sz w:val="21"/>
    </w:rPr>
  </w:style>
  <w:style w:type="paragraph" w:customStyle="1" w:styleId="48">
    <w:name w:val="标准文件_二级条标题"/>
    <w:next w:val="45"/>
    <w:qFormat/>
    <w:uiPriority w:val="0"/>
    <w:pPr>
      <w:widowControl w:val="0"/>
      <w:numPr>
        <w:ilvl w:val="3"/>
        <w:numId w:val="5"/>
      </w:numPr>
      <w:spacing w:beforeLines="50" w:afterLines="50"/>
      <w:jc w:val="both"/>
      <w:outlineLvl w:val="2"/>
    </w:pPr>
    <w:rPr>
      <w:rFonts w:ascii="黑体" w:hAnsi="Times New Roman" w:eastAsia="黑体" w:cs="Times New Roman"/>
      <w:sz w:val="21"/>
      <w:lang w:val="en-US" w:eastAsia="zh-CN" w:bidi="ar-SA"/>
    </w:rPr>
  </w:style>
  <w:style w:type="paragraph" w:customStyle="1" w:styleId="49">
    <w:name w:val="标准文件_三级条标题"/>
    <w:basedOn w:val="48"/>
    <w:next w:val="45"/>
    <w:qFormat/>
    <w:uiPriority w:val="0"/>
    <w:pPr>
      <w:widowControl/>
      <w:numPr>
        <w:ilvl w:val="4"/>
      </w:numPr>
      <w:outlineLvl w:val="3"/>
    </w:pPr>
  </w:style>
  <w:style w:type="paragraph" w:customStyle="1" w:styleId="50">
    <w:name w:val="标准文件_四级条标题"/>
    <w:next w:val="45"/>
    <w:qFormat/>
    <w:uiPriority w:val="0"/>
    <w:pPr>
      <w:widowControl w:val="0"/>
      <w:numPr>
        <w:ilvl w:val="5"/>
        <w:numId w:val="5"/>
      </w:numPr>
      <w:spacing w:beforeLines="50" w:afterLines="50"/>
      <w:jc w:val="both"/>
      <w:outlineLvl w:val="4"/>
    </w:pPr>
    <w:rPr>
      <w:rFonts w:ascii="黑体" w:hAnsi="Times New Roman" w:eastAsia="黑体" w:cs="Times New Roman"/>
      <w:sz w:val="21"/>
      <w:lang w:val="en-US" w:eastAsia="zh-CN" w:bidi="ar-SA"/>
    </w:rPr>
  </w:style>
  <w:style w:type="paragraph" w:customStyle="1" w:styleId="51">
    <w:name w:val="标准文件_五级条标题"/>
    <w:next w:val="45"/>
    <w:qFormat/>
    <w:uiPriority w:val="0"/>
    <w:pPr>
      <w:widowControl w:val="0"/>
      <w:numPr>
        <w:ilvl w:val="6"/>
        <w:numId w:val="5"/>
      </w:numPr>
      <w:spacing w:beforeLines="50" w:afterLines="50"/>
      <w:jc w:val="both"/>
      <w:outlineLvl w:val="5"/>
    </w:pPr>
    <w:rPr>
      <w:rFonts w:ascii="黑体" w:hAnsi="Times New Roman" w:eastAsia="黑体" w:cs="Times New Roman"/>
      <w:sz w:val="21"/>
      <w:lang w:val="en-US" w:eastAsia="zh-CN" w:bidi="ar-SA"/>
    </w:rPr>
  </w:style>
  <w:style w:type="paragraph" w:customStyle="1" w:styleId="52">
    <w:name w:val="标准文件_章标题"/>
    <w:next w:val="45"/>
    <w:qFormat/>
    <w:uiPriority w:val="0"/>
    <w:pPr>
      <w:numPr>
        <w:ilvl w:val="1"/>
        <w:numId w:val="5"/>
      </w:numPr>
      <w:spacing w:beforeLines="100" w:afterLines="100"/>
      <w:jc w:val="both"/>
      <w:outlineLvl w:val="0"/>
    </w:pPr>
    <w:rPr>
      <w:rFonts w:ascii="黑体" w:hAnsi="Times New Roman" w:eastAsia="黑体" w:cs="Times New Roman"/>
      <w:sz w:val="21"/>
      <w:lang w:val="en-US" w:eastAsia="zh-CN" w:bidi="ar-SA"/>
    </w:rPr>
  </w:style>
  <w:style w:type="paragraph" w:customStyle="1" w:styleId="53">
    <w:name w:val="标准文件_一级条标题"/>
    <w:basedOn w:val="52"/>
    <w:next w:val="45"/>
    <w:qFormat/>
    <w:uiPriority w:val="0"/>
    <w:pPr>
      <w:numPr>
        <w:ilvl w:val="2"/>
      </w:numPr>
      <w:spacing w:beforeLines="50" w:afterLines="50"/>
      <w:outlineLvl w:val="1"/>
    </w:pPr>
  </w:style>
  <w:style w:type="paragraph" w:customStyle="1" w:styleId="54">
    <w:name w:val="前言标题"/>
    <w:next w:val="1"/>
    <w:qFormat/>
    <w:uiPriority w:val="0"/>
    <w:pPr>
      <w:numPr>
        <w:ilvl w:val="0"/>
        <w:numId w:val="5"/>
      </w:numPr>
      <w:shd w:val="clear" w:color="FFFFFF" w:fill="FFFFFF"/>
      <w:spacing w:before="540" w:after="600"/>
      <w:jc w:val="center"/>
      <w:outlineLvl w:val="0"/>
    </w:pPr>
    <w:rPr>
      <w:rFonts w:ascii="黑体" w:hAnsi="Times New Roman" w:eastAsia="黑体" w:cs="Times New Roman"/>
      <w:sz w:val="32"/>
      <w:lang w:val="en-US" w:eastAsia="zh-CN" w:bidi="ar-SA"/>
    </w:rPr>
  </w:style>
  <w:style w:type="character" w:customStyle="1" w:styleId="55">
    <w:name w:val="标题 3 Char"/>
    <w:basedOn w:val="17"/>
    <w:link w:val="4"/>
    <w:semiHidden/>
    <w:qFormat/>
    <w:uiPriority w:val="9"/>
    <w:rPr>
      <w:b/>
      <w:bCs/>
      <w:kern w:val="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2B930-4365-4845-8E84-A374C8770FA3}">
  <ds:schemaRefs/>
</ds:datastoreItem>
</file>

<file path=docProps/app.xml><?xml version="1.0" encoding="utf-8"?>
<Properties xmlns="http://schemas.openxmlformats.org/officeDocument/2006/extended-properties" xmlns:vt="http://schemas.openxmlformats.org/officeDocument/2006/docPropsVTypes">
  <Template>Normal</Template>
  <Pages>16</Pages>
  <Words>251</Words>
  <Characters>269</Characters>
  <Lines>97</Lines>
  <Paragraphs>27</Paragraphs>
  <TotalTime>15</TotalTime>
  <ScaleCrop>false</ScaleCrop>
  <LinksUpToDate>false</LinksUpToDate>
  <CharactersWithSpaces>306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2024-05-09T09:07:00Z</dcterms:created>
  <dc:creator>ZYan</dc:creator>
  <cp:lastModifiedBy>王朝晖</cp:lastModifiedBy>
  <cp:lastPrinted>2023-04-25T06:04:00Z</cp:lastPrinted>
  <dcterms:modified xsi:type="dcterms:W3CDTF">2024-12-28T14:40:29Z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7F875244AE134D62B1E709D6F39C0007_12</vt:lpwstr>
  </property>
</Properties>
</file>